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FDF8D" w14:textId="52F7651A" w:rsidR="00090998" w:rsidRDefault="00090998" w:rsidP="00510C2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Arial" w:hAnsi="Arial" w:cs="Arial"/>
          <w:snapToGrid/>
          <w:szCs w:val="24"/>
          <w:lang w:eastAsia="en-GB"/>
        </w:rPr>
      </w:pPr>
    </w:p>
    <w:p w14:paraId="0F400110" w14:textId="77777777" w:rsidR="007452AF" w:rsidRDefault="007452AF" w:rsidP="000909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napToGrid/>
          <w:szCs w:val="24"/>
          <w:lang w:eastAsia="en-GB"/>
        </w:rPr>
      </w:pPr>
    </w:p>
    <w:p w14:paraId="25757850" w14:textId="77777777" w:rsidR="00090998" w:rsidRDefault="00EC5BBC" w:rsidP="007452AF">
      <w:pPr>
        <w:pStyle w:val="Heading8"/>
        <w:pBdr>
          <w:right w:val="single" w:sz="4" w:space="5" w:color="auto"/>
        </w:pBdr>
        <w:shd w:val="clear" w:color="auto" w:fill="99CCFF"/>
        <w:rPr>
          <w:szCs w:val="32"/>
        </w:rPr>
      </w:pPr>
      <w:r>
        <w:rPr>
          <w:noProof/>
        </w:rPr>
        <w:t>Management of Peanut &amp; Tree Nut Allergy in Children</w:t>
      </w:r>
    </w:p>
    <w:p w14:paraId="26956311" w14:textId="77777777" w:rsidR="007452AF" w:rsidRDefault="007452AF" w:rsidP="00090998">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703A5D" w14:paraId="50AA1D9D" w14:textId="77777777" w:rsidTr="00F65937">
        <w:trPr>
          <w:trHeight w:val="3012"/>
        </w:trPr>
        <w:tc>
          <w:tcPr>
            <w:tcW w:w="10500" w:type="dxa"/>
            <w:shd w:val="clear" w:color="auto" w:fill="FFFFCC"/>
          </w:tcPr>
          <w:p w14:paraId="4C063A06" w14:textId="77777777" w:rsidR="00703A5D" w:rsidRPr="00703A5D" w:rsidRDefault="00703A5D" w:rsidP="005A7C69">
            <w:pPr>
              <w:jc w:val="center"/>
              <w:rPr>
                <w:b/>
              </w:rPr>
            </w:pPr>
            <w:r w:rsidRPr="00703A5D">
              <w:rPr>
                <w:b/>
              </w:rPr>
              <w:t>Key Points</w:t>
            </w:r>
          </w:p>
          <w:p w14:paraId="25ECD086" w14:textId="77777777" w:rsidR="00703A5D" w:rsidRDefault="00703A5D" w:rsidP="005A7C69"/>
          <w:p w14:paraId="09085E14" w14:textId="77777777" w:rsidR="00703A5D" w:rsidRDefault="00F65937" w:rsidP="00F65937">
            <w:pPr>
              <w:numPr>
                <w:ilvl w:val="0"/>
                <w:numId w:val="9"/>
              </w:numPr>
              <w:spacing w:after="60"/>
            </w:pPr>
            <w:r>
              <w:t>Clinical history and allergy tests are needed to make the diagnosis</w:t>
            </w:r>
          </w:p>
          <w:p w14:paraId="210DDDFD" w14:textId="77777777" w:rsidR="00F65937" w:rsidRDefault="00F65937" w:rsidP="00F65937">
            <w:pPr>
              <w:numPr>
                <w:ilvl w:val="0"/>
                <w:numId w:val="9"/>
              </w:numPr>
              <w:spacing w:after="60"/>
            </w:pPr>
            <w:r>
              <w:t>Children with eczema &amp; egg allergy are at increased risk of peanut allergy</w:t>
            </w:r>
          </w:p>
          <w:p w14:paraId="2C09F9A5" w14:textId="77777777" w:rsidR="00F65937" w:rsidRDefault="00F65937" w:rsidP="00F65937">
            <w:pPr>
              <w:pStyle w:val="ListParagraph"/>
              <w:numPr>
                <w:ilvl w:val="0"/>
                <w:numId w:val="9"/>
              </w:numPr>
              <w:tabs>
                <w:tab w:val="left" w:pos="5415"/>
              </w:tabs>
              <w:autoSpaceDE w:val="0"/>
              <w:autoSpaceDN w:val="0"/>
              <w:adjustRightInd w:val="0"/>
              <w:contextualSpacing/>
              <w:rPr>
                <w:rFonts w:cs="AdvAgfaRS"/>
              </w:rPr>
            </w:pPr>
            <w:r>
              <w:rPr>
                <w:rFonts w:cs="AdvAgfaRS"/>
              </w:rPr>
              <w:t>Previous severe reaction is a risk factor for another severe reaction</w:t>
            </w:r>
          </w:p>
          <w:p w14:paraId="15BAF467" w14:textId="77777777" w:rsidR="00F65937" w:rsidRDefault="00F65937" w:rsidP="00F65937">
            <w:pPr>
              <w:pStyle w:val="ListParagraph"/>
              <w:numPr>
                <w:ilvl w:val="0"/>
                <w:numId w:val="9"/>
              </w:numPr>
              <w:tabs>
                <w:tab w:val="left" w:pos="5415"/>
              </w:tabs>
              <w:autoSpaceDE w:val="0"/>
              <w:autoSpaceDN w:val="0"/>
              <w:adjustRightInd w:val="0"/>
              <w:contextualSpacing/>
              <w:rPr>
                <w:rFonts w:cs="AdvAgfaRS"/>
              </w:rPr>
            </w:pPr>
            <w:r w:rsidRPr="00646340">
              <w:rPr>
                <w:rFonts w:cs="AdvAgfaRS"/>
              </w:rPr>
              <w:t>Most patients with</w:t>
            </w:r>
            <w:r>
              <w:rPr>
                <w:rFonts w:cs="AdvAgfaRS"/>
              </w:rPr>
              <w:t xml:space="preserve"> </w:t>
            </w:r>
            <w:r w:rsidRPr="00646340">
              <w:rPr>
                <w:rFonts w:cs="AdvAgfaRS"/>
              </w:rPr>
              <w:t>mild reactions do not go on to have severe reactions</w:t>
            </w:r>
          </w:p>
          <w:p w14:paraId="403ED581" w14:textId="77777777" w:rsidR="002A7E8A" w:rsidRDefault="00F65937" w:rsidP="002A7E8A">
            <w:pPr>
              <w:numPr>
                <w:ilvl w:val="0"/>
                <w:numId w:val="9"/>
              </w:numPr>
              <w:spacing w:after="60"/>
            </w:pPr>
            <w:r>
              <w:t xml:space="preserve">Skin prick wheal &gt; 8mm or specific </w:t>
            </w:r>
            <w:proofErr w:type="spellStart"/>
            <w:r>
              <w:t>IgE</w:t>
            </w:r>
            <w:proofErr w:type="spellEnd"/>
            <w:r>
              <w:t xml:space="preserve"> &gt; 15kU/L have high positive diagnostic accuracy for true allergy rather than sensitisation</w:t>
            </w:r>
          </w:p>
          <w:p w14:paraId="459197A5" w14:textId="77777777" w:rsidR="002A7E8A" w:rsidRDefault="002A7E8A" w:rsidP="002A7E8A">
            <w:pPr>
              <w:numPr>
                <w:ilvl w:val="0"/>
                <w:numId w:val="9"/>
              </w:numPr>
              <w:spacing w:after="60"/>
            </w:pPr>
            <w:r>
              <w:t>This is Frimley site only as in different referral Networks</w:t>
            </w:r>
          </w:p>
          <w:p w14:paraId="7D73705A" w14:textId="77777777" w:rsidR="002A7E8A" w:rsidRDefault="002A7E8A" w:rsidP="002A7E8A">
            <w:pPr>
              <w:spacing w:after="60"/>
              <w:ind w:left="720"/>
            </w:pPr>
          </w:p>
        </w:tc>
      </w:tr>
    </w:tbl>
    <w:p w14:paraId="293EDFB0" w14:textId="77777777" w:rsidR="00090998" w:rsidRDefault="00090998" w:rsidP="00090998">
      <w:pPr>
        <w:pStyle w:val="Header"/>
        <w:tabs>
          <w:tab w:val="clear" w:pos="4153"/>
          <w:tab w:val="clear" w:pos="8306"/>
        </w:tabs>
      </w:pPr>
    </w:p>
    <w:p w14:paraId="6C1819A2" w14:textId="77777777" w:rsidR="007452AF" w:rsidRDefault="007452AF" w:rsidP="00090998">
      <w:pPr>
        <w:pStyle w:val="Header"/>
        <w:tabs>
          <w:tab w:val="clear" w:pos="4153"/>
          <w:tab w:val="clear" w:pos="8306"/>
        </w:tabs>
      </w:pPr>
    </w:p>
    <w:p w14:paraId="739C4C9E" w14:textId="77777777" w:rsidR="007452AF" w:rsidRDefault="007452AF" w:rsidP="00090998">
      <w:pPr>
        <w:pStyle w:val="Header"/>
        <w:tabs>
          <w:tab w:val="clear" w:pos="4153"/>
          <w:tab w:val="clear" w:pos="8306"/>
        </w:tabs>
      </w:pPr>
    </w:p>
    <w:p w14:paraId="4E343179" w14:textId="77777777" w:rsidR="007452AF" w:rsidRDefault="007452AF" w:rsidP="00090998">
      <w:pPr>
        <w:pStyle w:val="Header"/>
        <w:tabs>
          <w:tab w:val="clear" w:pos="4153"/>
          <w:tab w:val="clear" w:pos="8306"/>
        </w:tabs>
      </w:pPr>
    </w:p>
    <w:tbl>
      <w:tblPr>
        <w:tblW w:w="10440" w:type="dxa"/>
        <w:tblInd w:w="108" w:type="dxa"/>
        <w:tblLook w:val="01E0" w:firstRow="1" w:lastRow="1" w:firstColumn="1" w:lastColumn="1" w:noHBand="0" w:noVBand="0"/>
      </w:tblPr>
      <w:tblGrid>
        <w:gridCol w:w="5940"/>
        <w:gridCol w:w="4500"/>
      </w:tblGrid>
      <w:tr w:rsidR="00090998" w14:paraId="60EA8435" w14:textId="77777777" w:rsidTr="00FA3BEE">
        <w:tc>
          <w:tcPr>
            <w:tcW w:w="5940" w:type="dxa"/>
          </w:tcPr>
          <w:p w14:paraId="435AD456" w14:textId="77777777" w:rsidR="00090998" w:rsidRDefault="00090998" w:rsidP="00090998">
            <w:pPr>
              <w:spacing w:before="40" w:after="40"/>
              <w:jc w:val="both"/>
              <w:rPr>
                <w:rFonts w:cs="Arial"/>
                <w:b/>
                <w:bCs/>
                <w:szCs w:val="22"/>
              </w:rPr>
            </w:pPr>
            <w:r>
              <w:rPr>
                <w:rFonts w:cs="Arial"/>
                <w:b/>
                <w:bCs/>
                <w:szCs w:val="22"/>
              </w:rPr>
              <w:t>Version:</w:t>
            </w:r>
          </w:p>
        </w:tc>
        <w:tc>
          <w:tcPr>
            <w:tcW w:w="4500" w:type="dxa"/>
          </w:tcPr>
          <w:p w14:paraId="0E90B7DE" w14:textId="77777777" w:rsidR="00090998" w:rsidRDefault="00EC5BBC" w:rsidP="00090998">
            <w:pPr>
              <w:spacing w:before="40" w:after="40"/>
              <w:jc w:val="both"/>
              <w:rPr>
                <w:rFonts w:cs="Arial"/>
                <w:szCs w:val="22"/>
              </w:rPr>
            </w:pPr>
            <w:r>
              <w:rPr>
                <w:rFonts w:cs="Arial"/>
                <w:szCs w:val="22"/>
              </w:rPr>
              <w:t>1</w:t>
            </w:r>
          </w:p>
        </w:tc>
      </w:tr>
      <w:tr w:rsidR="009A559D" w14:paraId="3809E975" w14:textId="77777777" w:rsidTr="00D60FCF">
        <w:tc>
          <w:tcPr>
            <w:tcW w:w="5940" w:type="dxa"/>
            <w:vAlign w:val="center"/>
          </w:tcPr>
          <w:p w14:paraId="1FDEC6D0" w14:textId="77777777" w:rsidR="009A559D" w:rsidRDefault="009A559D" w:rsidP="007212AC">
            <w:pPr>
              <w:spacing w:before="40" w:after="40"/>
              <w:jc w:val="both"/>
              <w:rPr>
                <w:rFonts w:cs="Arial"/>
                <w:b/>
                <w:bCs/>
                <w:szCs w:val="22"/>
              </w:rPr>
            </w:pPr>
            <w:r>
              <w:rPr>
                <w:rFonts w:cs="Arial"/>
                <w:b/>
                <w:bCs/>
              </w:rPr>
              <w:t>Guidelines Lead(s):</w:t>
            </w:r>
          </w:p>
        </w:tc>
        <w:tc>
          <w:tcPr>
            <w:tcW w:w="4500" w:type="dxa"/>
          </w:tcPr>
          <w:p w14:paraId="407DE012" w14:textId="77777777" w:rsidR="009A559D" w:rsidRDefault="00EC5BBC" w:rsidP="00EC5BBC">
            <w:pPr>
              <w:spacing w:before="40" w:after="40"/>
              <w:jc w:val="both"/>
              <w:rPr>
                <w:rFonts w:cs="Arial"/>
                <w:szCs w:val="22"/>
              </w:rPr>
            </w:pPr>
            <w:r>
              <w:rPr>
                <w:rFonts w:cs="Arial"/>
                <w:szCs w:val="22"/>
              </w:rPr>
              <w:t xml:space="preserve">Dr Kate O’Farrell Consultant Paediatrician &amp; Dr </w:t>
            </w:r>
            <w:proofErr w:type="spellStart"/>
            <w:r>
              <w:rPr>
                <w:rFonts w:cs="Arial"/>
                <w:szCs w:val="22"/>
              </w:rPr>
              <w:t>Maisara</w:t>
            </w:r>
            <w:proofErr w:type="spellEnd"/>
            <w:r>
              <w:rPr>
                <w:rFonts w:cs="Arial"/>
                <w:szCs w:val="22"/>
              </w:rPr>
              <w:t xml:space="preserve"> Soliman Consultant Paediatrician</w:t>
            </w:r>
          </w:p>
        </w:tc>
      </w:tr>
      <w:tr w:rsidR="009A559D" w14:paraId="0E5D69BD" w14:textId="77777777" w:rsidTr="00D60FCF">
        <w:tc>
          <w:tcPr>
            <w:tcW w:w="5940" w:type="dxa"/>
            <w:vAlign w:val="center"/>
          </w:tcPr>
          <w:p w14:paraId="6F4DFBF4" w14:textId="77777777" w:rsidR="009A559D" w:rsidRDefault="009A559D" w:rsidP="007212AC">
            <w:pPr>
              <w:spacing w:before="40" w:after="40"/>
              <w:jc w:val="both"/>
              <w:rPr>
                <w:rFonts w:cs="Arial"/>
                <w:b/>
                <w:bCs/>
                <w:szCs w:val="22"/>
              </w:rPr>
            </w:pPr>
            <w:r>
              <w:rPr>
                <w:rFonts w:cs="Arial"/>
                <w:b/>
                <w:bCs/>
              </w:rPr>
              <w:t>Contributors:</w:t>
            </w:r>
          </w:p>
        </w:tc>
        <w:tc>
          <w:tcPr>
            <w:tcW w:w="4500" w:type="dxa"/>
          </w:tcPr>
          <w:p w14:paraId="1DC7A04D" w14:textId="77777777" w:rsidR="009A559D" w:rsidRDefault="00EC5BBC" w:rsidP="00090998">
            <w:pPr>
              <w:spacing w:before="40" w:after="40"/>
              <w:jc w:val="both"/>
              <w:rPr>
                <w:rFonts w:cs="Arial"/>
                <w:szCs w:val="22"/>
              </w:rPr>
            </w:pPr>
            <w:r>
              <w:rPr>
                <w:rFonts w:cs="Arial"/>
                <w:szCs w:val="22"/>
              </w:rPr>
              <w:t>Dr Kate O’Farrell</w:t>
            </w:r>
          </w:p>
        </w:tc>
      </w:tr>
      <w:tr w:rsidR="00090998" w14:paraId="15AE481A" w14:textId="77777777" w:rsidTr="00FA3BEE">
        <w:tc>
          <w:tcPr>
            <w:tcW w:w="5940" w:type="dxa"/>
          </w:tcPr>
          <w:p w14:paraId="30AE413E" w14:textId="77777777" w:rsidR="00090998" w:rsidRDefault="009A559D" w:rsidP="007212AC">
            <w:pPr>
              <w:spacing w:before="40" w:after="40"/>
              <w:jc w:val="both"/>
              <w:rPr>
                <w:rFonts w:cs="Arial"/>
                <w:b/>
                <w:bCs/>
                <w:szCs w:val="22"/>
              </w:rPr>
            </w:pPr>
            <w:r>
              <w:rPr>
                <w:rFonts w:cs="Arial"/>
                <w:b/>
                <w:bCs/>
              </w:rPr>
              <w:t>Lead Director/ Chief of Service:</w:t>
            </w:r>
          </w:p>
        </w:tc>
        <w:tc>
          <w:tcPr>
            <w:tcW w:w="4500" w:type="dxa"/>
          </w:tcPr>
          <w:p w14:paraId="2809A93D" w14:textId="77777777" w:rsidR="00090998" w:rsidRDefault="00EC5BBC" w:rsidP="00090998">
            <w:pPr>
              <w:spacing w:before="40" w:after="40"/>
              <w:jc w:val="both"/>
              <w:rPr>
                <w:rFonts w:cs="Arial"/>
                <w:szCs w:val="22"/>
              </w:rPr>
            </w:pPr>
            <w:r>
              <w:rPr>
                <w:rFonts w:cs="Arial"/>
                <w:szCs w:val="22"/>
              </w:rPr>
              <w:t>Dr Jo Philpot</w:t>
            </w:r>
          </w:p>
        </w:tc>
      </w:tr>
      <w:tr w:rsidR="009A559D" w14:paraId="78E8B1CE" w14:textId="77777777" w:rsidTr="00D60FCF">
        <w:tc>
          <w:tcPr>
            <w:tcW w:w="5940" w:type="dxa"/>
            <w:vAlign w:val="center"/>
          </w:tcPr>
          <w:p w14:paraId="5A10D719" w14:textId="77777777" w:rsidR="009A559D" w:rsidRDefault="009A559D" w:rsidP="00090998">
            <w:pPr>
              <w:spacing w:before="40" w:after="40"/>
              <w:jc w:val="both"/>
              <w:rPr>
                <w:rFonts w:cs="Arial"/>
                <w:b/>
                <w:bCs/>
                <w:szCs w:val="22"/>
              </w:rPr>
            </w:pPr>
            <w:r>
              <w:rPr>
                <w:rFonts w:cs="Arial"/>
                <w:b/>
                <w:bCs/>
              </w:rPr>
              <w:t>Ratified at:</w:t>
            </w:r>
          </w:p>
        </w:tc>
        <w:tc>
          <w:tcPr>
            <w:tcW w:w="4500" w:type="dxa"/>
            <w:vAlign w:val="center"/>
          </w:tcPr>
          <w:p w14:paraId="5318C920" w14:textId="77777777" w:rsidR="009A559D" w:rsidRDefault="00EC5BBC" w:rsidP="00090998">
            <w:pPr>
              <w:spacing w:before="40" w:after="40"/>
              <w:jc w:val="both"/>
              <w:rPr>
                <w:rFonts w:cs="Arial"/>
                <w:szCs w:val="22"/>
              </w:rPr>
            </w:pPr>
            <w:r>
              <w:rPr>
                <w:rFonts w:cs="Arial"/>
              </w:rPr>
              <w:t>Departmental Clinical Governance Meeting</w:t>
            </w:r>
          </w:p>
        </w:tc>
      </w:tr>
      <w:tr w:rsidR="00090998" w14:paraId="4F313BCB" w14:textId="77777777" w:rsidTr="00FA3BEE">
        <w:tc>
          <w:tcPr>
            <w:tcW w:w="5940" w:type="dxa"/>
          </w:tcPr>
          <w:p w14:paraId="11FA1C3B" w14:textId="77777777" w:rsidR="00090998" w:rsidRDefault="00090998" w:rsidP="00090998">
            <w:pPr>
              <w:spacing w:before="40" w:after="40"/>
              <w:jc w:val="both"/>
              <w:rPr>
                <w:rFonts w:cs="Arial"/>
                <w:b/>
                <w:bCs/>
                <w:szCs w:val="22"/>
              </w:rPr>
            </w:pPr>
            <w:r>
              <w:rPr>
                <w:rFonts w:cs="Arial"/>
                <w:b/>
                <w:bCs/>
                <w:szCs w:val="22"/>
              </w:rPr>
              <w:t>Date Issued:</w:t>
            </w:r>
          </w:p>
        </w:tc>
        <w:tc>
          <w:tcPr>
            <w:tcW w:w="4500" w:type="dxa"/>
          </w:tcPr>
          <w:p w14:paraId="4319C898" w14:textId="77777777" w:rsidR="00090998" w:rsidRDefault="00EC5BBC" w:rsidP="00090998">
            <w:pPr>
              <w:spacing w:before="40" w:after="40"/>
              <w:jc w:val="both"/>
              <w:rPr>
                <w:rFonts w:cs="Arial"/>
                <w:szCs w:val="22"/>
              </w:rPr>
            </w:pPr>
            <w:r>
              <w:rPr>
                <w:rFonts w:cs="Arial"/>
                <w:szCs w:val="22"/>
              </w:rPr>
              <w:t>May 2020</w:t>
            </w:r>
          </w:p>
        </w:tc>
      </w:tr>
      <w:tr w:rsidR="00510C25" w14:paraId="06D0ED02" w14:textId="77777777" w:rsidTr="00510C25">
        <w:tc>
          <w:tcPr>
            <w:tcW w:w="5940" w:type="dxa"/>
          </w:tcPr>
          <w:p w14:paraId="2ECFCD03" w14:textId="77777777" w:rsidR="00510C25" w:rsidRDefault="00510C25" w:rsidP="00510C25">
            <w:pPr>
              <w:spacing w:before="40" w:after="40"/>
              <w:jc w:val="both"/>
              <w:rPr>
                <w:rFonts w:cs="Arial"/>
                <w:b/>
                <w:bCs/>
                <w:szCs w:val="22"/>
              </w:rPr>
            </w:pPr>
            <w:r>
              <w:rPr>
                <w:rFonts w:cs="Arial"/>
                <w:b/>
                <w:bCs/>
                <w:szCs w:val="22"/>
              </w:rPr>
              <w:t>Review Date:</w:t>
            </w:r>
          </w:p>
        </w:tc>
        <w:tc>
          <w:tcPr>
            <w:tcW w:w="4500" w:type="dxa"/>
          </w:tcPr>
          <w:p w14:paraId="74F8C600" w14:textId="77777777" w:rsidR="00510C25" w:rsidRDefault="00381CCB" w:rsidP="00510C25">
            <w:pPr>
              <w:spacing w:before="40" w:after="40"/>
              <w:jc w:val="both"/>
              <w:rPr>
                <w:rFonts w:cs="Arial"/>
                <w:szCs w:val="22"/>
              </w:rPr>
            </w:pPr>
            <w:r>
              <w:rPr>
                <w:rFonts w:cs="Arial"/>
                <w:szCs w:val="22"/>
              </w:rPr>
              <w:t xml:space="preserve">May </w:t>
            </w:r>
            <w:r w:rsidR="00EC5BBC">
              <w:rPr>
                <w:rFonts w:cs="Arial"/>
                <w:szCs w:val="22"/>
              </w:rPr>
              <w:t>202</w:t>
            </w:r>
            <w:r>
              <w:rPr>
                <w:rFonts w:cs="Arial"/>
                <w:szCs w:val="22"/>
              </w:rPr>
              <w:t>3</w:t>
            </w:r>
          </w:p>
        </w:tc>
      </w:tr>
      <w:tr w:rsidR="00090998" w14:paraId="1A7C8D74" w14:textId="77777777" w:rsidTr="00FA3BEE">
        <w:tc>
          <w:tcPr>
            <w:tcW w:w="5940" w:type="dxa"/>
          </w:tcPr>
          <w:p w14:paraId="182114B6" w14:textId="77777777" w:rsidR="002A7E8A" w:rsidRDefault="002A7E8A" w:rsidP="00090998">
            <w:pPr>
              <w:spacing w:before="40" w:after="40"/>
              <w:jc w:val="both"/>
              <w:rPr>
                <w:rFonts w:cs="Arial"/>
                <w:b/>
                <w:bCs/>
              </w:rPr>
            </w:pPr>
            <w:r w:rsidRPr="002D7C40">
              <w:rPr>
                <w:rFonts w:cs="Arial"/>
                <w:b/>
                <w:bCs/>
              </w:rPr>
              <w:t>Pharmaceutical dosing advice and formulary compliance checked</w:t>
            </w:r>
            <w:r>
              <w:rPr>
                <w:rFonts w:cs="Arial"/>
                <w:b/>
                <w:bCs/>
              </w:rPr>
              <w:t xml:space="preserve"> by</w:t>
            </w:r>
            <w:r w:rsidRPr="002D7C40">
              <w:rPr>
                <w:rFonts w:cs="Arial"/>
                <w:b/>
                <w:bCs/>
              </w:rPr>
              <w:t xml:space="preserve">: </w:t>
            </w:r>
          </w:p>
          <w:p w14:paraId="48243952" w14:textId="77777777" w:rsidR="00090998" w:rsidRDefault="00510C25" w:rsidP="00090998">
            <w:pPr>
              <w:spacing w:before="40" w:after="40"/>
              <w:jc w:val="both"/>
              <w:rPr>
                <w:rFonts w:cs="Arial"/>
                <w:b/>
                <w:bCs/>
                <w:szCs w:val="22"/>
              </w:rPr>
            </w:pPr>
            <w:r>
              <w:rPr>
                <w:rFonts w:cs="Arial"/>
                <w:b/>
                <w:bCs/>
                <w:szCs w:val="22"/>
              </w:rPr>
              <w:t>Key words</w:t>
            </w:r>
            <w:r w:rsidR="00090998">
              <w:rPr>
                <w:rFonts w:cs="Arial"/>
                <w:b/>
                <w:bCs/>
                <w:szCs w:val="22"/>
              </w:rPr>
              <w:t>:</w:t>
            </w:r>
          </w:p>
        </w:tc>
        <w:tc>
          <w:tcPr>
            <w:tcW w:w="4500" w:type="dxa"/>
          </w:tcPr>
          <w:p w14:paraId="30B7E943" w14:textId="77777777" w:rsidR="00090998" w:rsidRDefault="002A7E8A" w:rsidP="0019109A">
            <w:pPr>
              <w:spacing w:before="40" w:after="40"/>
              <w:jc w:val="both"/>
              <w:rPr>
                <w:rFonts w:cs="Arial"/>
                <w:szCs w:val="22"/>
              </w:rPr>
            </w:pPr>
            <w:r>
              <w:rPr>
                <w:rFonts w:cs="Arial"/>
              </w:rPr>
              <w:t>Ruth Botting Senior Paediatric Pharmacist</w:t>
            </w:r>
            <w:r w:rsidR="0019109A">
              <w:rPr>
                <w:rFonts w:cs="Arial"/>
              </w:rPr>
              <w:t xml:space="preserve"> 9</w:t>
            </w:r>
            <w:r w:rsidR="0019109A" w:rsidRPr="0019109A">
              <w:rPr>
                <w:rFonts w:cs="Arial"/>
                <w:vertAlign w:val="superscript"/>
              </w:rPr>
              <w:t>th</w:t>
            </w:r>
            <w:r w:rsidR="0019109A">
              <w:rPr>
                <w:rFonts w:cs="Arial"/>
              </w:rPr>
              <w:t xml:space="preserve"> </w:t>
            </w:r>
            <w:r>
              <w:rPr>
                <w:rFonts w:cs="Arial"/>
              </w:rPr>
              <w:t>May 2020 Member of the Clinical Governance Committee</w:t>
            </w:r>
          </w:p>
        </w:tc>
      </w:tr>
      <w:tr w:rsidR="008818C5" w14:paraId="5FE2CBC2" w14:textId="77777777" w:rsidTr="008818C5">
        <w:tc>
          <w:tcPr>
            <w:tcW w:w="10440" w:type="dxa"/>
            <w:gridSpan w:val="2"/>
          </w:tcPr>
          <w:p w14:paraId="374B5403" w14:textId="77777777" w:rsidR="008818C5" w:rsidRDefault="008818C5" w:rsidP="00090998">
            <w:pPr>
              <w:spacing w:before="40" w:after="40"/>
              <w:jc w:val="both"/>
              <w:rPr>
                <w:rFonts w:cs="Arial"/>
                <w:szCs w:val="22"/>
              </w:rPr>
            </w:pPr>
            <w:r w:rsidRPr="00D10221">
              <w:rPr>
                <w:rFonts w:cs="Arial"/>
              </w:rPr>
              <w:t xml:space="preserve">This guideline has been registered with the trust. However, clinical guidelines are guidelines only. The interpretation and application of clinical guidelines will remain the responsibility of the individual clinician. If in </w:t>
            </w:r>
            <w:proofErr w:type="gramStart"/>
            <w:r w:rsidRPr="00D10221">
              <w:rPr>
                <w:rFonts w:cs="Arial"/>
              </w:rPr>
              <w:t>doubt</w:t>
            </w:r>
            <w:proofErr w:type="gramEnd"/>
            <w:r w:rsidRPr="00D10221">
              <w:rPr>
                <w:rFonts w:cs="Arial"/>
              </w:rPr>
              <w:t xml:space="preserve"> contact a senior colleague or expert. Caution is advised when using guidelines after the review date</w:t>
            </w:r>
            <w:r>
              <w:rPr>
                <w:rFonts w:cs="Arial"/>
              </w:rPr>
              <w:t>.</w:t>
            </w:r>
            <w:r w:rsidRPr="00D10221">
              <w:t xml:space="preserve"> </w:t>
            </w:r>
            <w:r w:rsidRPr="00D10221">
              <w:rPr>
                <w:rFonts w:cs="Arial"/>
              </w:rPr>
              <w:t>This guideline is for use in Frimley Health Trust hospitals only. Any use outside this location will not be supported by the Trust and will be at the risk of the individual using it</w:t>
            </w:r>
            <w:r w:rsidR="00257967">
              <w:rPr>
                <w:rFonts w:cs="Arial"/>
              </w:rPr>
              <w:t>.</w:t>
            </w:r>
          </w:p>
        </w:tc>
      </w:tr>
    </w:tbl>
    <w:p w14:paraId="1AAFB50F" w14:textId="77777777" w:rsidR="00FA3BEE" w:rsidRDefault="00FA3BEE" w:rsidP="00090998">
      <w:pPr>
        <w:jc w:val="both"/>
        <w:rPr>
          <w:rFonts w:cs="Arial"/>
          <w:b/>
          <w:szCs w:val="22"/>
        </w:rPr>
      </w:pPr>
    </w:p>
    <w:p w14:paraId="61C1C349" w14:textId="77777777" w:rsidR="00090998" w:rsidRDefault="00703A5D" w:rsidP="00090998">
      <w:pPr>
        <w:jc w:val="both"/>
        <w:rPr>
          <w:rFonts w:cs="Arial"/>
          <w:b/>
          <w:szCs w:val="22"/>
        </w:rPr>
      </w:pPr>
      <w:r>
        <w:rPr>
          <w:rFonts w:cs="Arial"/>
          <w:b/>
          <w:szCs w:val="22"/>
        </w:rPr>
        <w:br w:type="page"/>
      </w:r>
      <w:r w:rsidR="00090998">
        <w:rPr>
          <w:rFonts w:cs="Arial"/>
          <w:b/>
          <w:szCs w:val="22"/>
        </w:rPr>
        <w:lastRenderedPageBreak/>
        <w:t>Version Control Sheet</w:t>
      </w:r>
    </w:p>
    <w:p w14:paraId="616DA242" w14:textId="77777777" w:rsidR="00090998" w:rsidRDefault="00090998" w:rsidP="00090998">
      <w:pPr>
        <w:jc w:val="both"/>
        <w:rPr>
          <w:rFonts w:cs="Arial"/>
          <w:b/>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1151"/>
        <w:gridCol w:w="2954"/>
        <w:gridCol w:w="1255"/>
        <w:gridCol w:w="4091"/>
      </w:tblGrid>
      <w:tr w:rsidR="00090998" w14:paraId="2C678C16" w14:textId="77777777">
        <w:tc>
          <w:tcPr>
            <w:tcW w:w="1098" w:type="dxa"/>
          </w:tcPr>
          <w:p w14:paraId="45F6968B" w14:textId="77777777" w:rsidR="00090998" w:rsidRDefault="00090998" w:rsidP="00090998">
            <w:pPr>
              <w:spacing w:before="60" w:after="60"/>
              <w:jc w:val="center"/>
              <w:rPr>
                <w:rFonts w:cs="Arial"/>
                <w:b/>
                <w:szCs w:val="20"/>
              </w:rPr>
            </w:pPr>
            <w:r>
              <w:rPr>
                <w:rFonts w:cs="Arial"/>
                <w:b/>
                <w:szCs w:val="20"/>
              </w:rPr>
              <w:t>Version</w:t>
            </w:r>
          </w:p>
        </w:tc>
        <w:tc>
          <w:tcPr>
            <w:tcW w:w="1067" w:type="dxa"/>
          </w:tcPr>
          <w:p w14:paraId="1FFA20CC" w14:textId="77777777" w:rsidR="00090998" w:rsidRDefault="00090998" w:rsidP="00090998">
            <w:pPr>
              <w:spacing w:before="60" w:after="60"/>
              <w:jc w:val="center"/>
              <w:rPr>
                <w:rFonts w:cs="Arial"/>
                <w:b/>
                <w:szCs w:val="20"/>
              </w:rPr>
            </w:pPr>
            <w:r>
              <w:rPr>
                <w:rFonts w:cs="Arial"/>
                <w:b/>
                <w:szCs w:val="20"/>
              </w:rPr>
              <w:t>Date</w:t>
            </w:r>
          </w:p>
        </w:tc>
        <w:tc>
          <w:tcPr>
            <w:tcW w:w="2983" w:type="dxa"/>
          </w:tcPr>
          <w:p w14:paraId="59C904D4" w14:textId="77777777" w:rsidR="00090998" w:rsidRDefault="001B4A1F" w:rsidP="001B4A1F">
            <w:pPr>
              <w:spacing w:before="60" w:after="60"/>
              <w:jc w:val="center"/>
              <w:rPr>
                <w:rFonts w:cs="Arial"/>
                <w:b/>
                <w:szCs w:val="20"/>
              </w:rPr>
            </w:pPr>
            <w:r>
              <w:rPr>
                <w:rFonts w:cs="Arial"/>
                <w:b/>
                <w:szCs w:val="20"/>
              </w:rPr>
              <w:t>Guideline Lead</w:t>
            </w:r>
            <w:r w:rsidR="00090998">
              <w:rPr>
                <w:rFonts w:cs="Arial"/>
                <w:b/>
                <w:szCs w:val="20"/>
              </w:rPr>
              <w:t>(s)</w:t>
            </w:r>
          </w:p>
        </w:tc>
        <w:tc>
          <w:tcPr>
            <w:tcW w:w="1260" w:type="dxa"/>
          </w:tcPr>
          <w:p w14:paraId="0FCB273D" w14:textId="77777777" w:rsidR="00090998" w:rsidRDefault="00090998" w:rsidP="00090998">
            <w:pPr>
              <w:spacing w:before="60" w:after="60"/>
              <w:jc w:val="center"/>
              <w:rPr>
                <w:rFonts w:cs="Arial"/>
                <w:b/>
                <w:szCs w:val="20"/>
              </w:rPr>
            </w:pPr>
            <w:r>
              <w:rPr>
                <w:rFonts w:cs="Arial"/>
                <w:b/>
                <w:szCs w:val="20"/>
              </w:rPr>
              <w:t>Status</w:t>
            </w:r>
          </w:p>
        </w:tc>
        <w:tc>
          <w:tcPr>
            <w:tcW w:w="4140" w:type="dxa"/>
          </w:tcPr>
          <w:p w14:paraId="7FAD0A0D" w14:textId="77777777" w:rsidR="00090998" w:rsidRDefault="00090998" w:rsidP="00090998">
            <w:pPr>
              <w:spacing w:before="60" w:after="60"/>
              <w:jc w:val="center"/>
              <w:rPr>
                <w:rFonts w:cs="Arial"/>
                <w:b/>
                <w:szCs w:val="20"/>
              </w:rPr>
            </w:pPr>
            <w:r>
              <w:rPr>
                <w:rFonts w:cs="Arial"/>
                <w:b/>
                <w:szCs w:val="20"/>
              </w:rPr>
              <w:t>Comment</w:t>
            </w:r>
          </w:p>
        </w:tc>
      </w:tr>
      <w:tr w:rsidR="00090998" w14:paraId="72E7D411" w14:textId="77777777">
        <w:tc>
          <w:tcPr>
            <w:tcW w:w="1098" w:type="dxa"/>
          </w:tcPr>
          <w:p w14:paraId="1B75E91C" w14:textId="77777777" w:rsidR="00090998" w:rsidRDefault="00EC5BBC" w:rsidP="00090998">
            <w:pPr>
              <w:spacing w:before="60" w:after="60"/>
              <w:jc w:val="center"/>
              <w:rPr>
                <w:rFonts w:cs="Arial"/>
                <w:szCs w:val="20"/>
              </w:rPr>
            </w:pPr>
            <w:r>
              <w:rPr>
                <w:rFonts w:cs="Arial"/>
                <w:szCs w:val="20"/>
              </w:rPr>
              <w:t>1</w:t>
            </w:r>
          </w:p>
        </w:tc>
        <w:tc>
          <w:tcPr>
            <w:tcW w:w="1067" w:type="dxa"/>
          </w:tcPr>
          <w:p w14:paraId="157C84BB" w14:textId="77777777" w:rsidR="00090998" w:rsidRDefault="00EC5BBC" w:rsidP="00090998">
            <w:pPr>
              <w:spacing w:before="60" w:after="60"/>
              <w:jc w:val="center"/>
              <w:rPr>
                <w:rFonts w:cs="Arial"/>
                <w:szCs w:val="20"/>
              </w:rPr>
            </w:pPr>
            <w:r>
              <w:rPr>
                <w:rFonts w:cs="Arial"/>
                <w:szCs w:val="20"/>
              </w:rPr>
              <w:t>5/5/2020</w:t>
            </w:r>
          </w:p>
        </w:tc>
        <w:tc>
          <w:tcPr>
            <w:tcW w:w="2983" w:type="dxa"/>
          </w:tcPr>
          <w:p w14:paraId="64FCBE31" w14:textId="77777777" w:rsidR="00090998" w:rsidRDefault="00EC5BBC" w:rsidP="00090998">
            <w:pPr>
              <w:spacing w:before="60" w:after="60"/>
              <w:jc w:val="center"/>
              <w:rPr>
                <w:rFonts w:cs="Arial"/>
                <w:szCs w:val="20"/>
              </w:rPr>
            </w:pPr>
            <w:r>
              <w:rPr>
                <w:rFonts w:cs="Arial"/>
                <w:szCs w:val="20"/>
              </w:rPr>
              <w:t>Dr Kate O’Farrell</w:t>
            </w:r>
          </w:p>
        </w:tc>
        <w:tc>
          <w:tcPr>
            <w:tcW w:w="1260" w:type="dxa"/>
          </w:tcPr>
          <w:p w14:paraId="4F1949D9" w14:textId="77777777" w:rsidR="00090998" w:rsidRDefault="00090998" w:rsidP="00090998">
            <w:pPr>
              <w:spacing w:before="60" w:after="60"/>
              <w:jc w:val="center"/>
              <w:rPr>
                <w:rFonts w:cs="Arial"/>
                <w:szCs w:val="20"/>
              </w:rPr>
            </w:pPr>
          </w:p>
        </w:tc>
        <w:tc>
          <w:tcPr>
            <w:tcW w:w="4140" w:type="dxa"/>
          </w:tcPr>
          <w:p w14:paraId="1832E0D4" w14:textId="77777777" w:rsidR="00090998" w:rsidRDefault="00090998" w:rsidP="00090998">
            <w:pPr>
              <w:spacing w:before="60" w:after="60"/>
              <w:jc w:val="center"/>
              <w:rPr>
                <w:rFonts w:cs="Arial"/>
                <w:szCs w:val="20"/>
              </w:rPr>
            </w:pPr>
          </w:p>
        </w:tc>
      </w:tr>
      <w:tr w:rsidR="00090998" w14:paraId="4EAC1ACE" w14:textId="77777777">
        <w:tc>
          <w:tcPr>
            <w:tcW w:w="1098" w:type="dxa"/>
          </w:tcPr>
          <w:p w14:paraId="42BF9313" w14:textId="77777777" w:rsidR="00090998" w:rsidRDefault="00090998" w:rsidP="00090998">
            <w:pPr>
              <w:spacing w:before="60" w:after="60"/>
              <w:jc w:val="center"/>
              <w:rPr>
                <w:rFonts w:cs="Arial"/>
                <w:szCs w:val="20"/>
              </w:rPr>
            </w:pPr>
          </w:p>
        </w:tc>
        <w:tc>
          <w:tcPr>
            <w:tcW w:w="1067" w:type="dxa"/>
          </w:tcPr>
          <w:p w14:paraId="4A7A2654" w14:textId="77777777" w:rsidR="00090998" w:rsidRDefault="00090998" w:rsidP="00090998">
            <w:pPr>
              <w:spacing w:before="60" w:after="60"/>
              <w:jc w:val="center"/>
              <w:rPr>
                <w:rFonts w:cs="Arial"/>
                <w:szCs w:val="20"/>
              </w:rPr>
            </w:pPr>
          </w:p>
        </w:tc>
        <w:tc>
          <w:tcPr>
            <w:tcW w:w="2983" w:type="dxa"/>
          </w:tcPr>
          <w:p w14:paraId="4B1D49F8" w14:textId="77777777" w:rsidR="00090998" w:rsidRDefault="00090998" w:rsidP="00090998">
            <w:pPr>
              <w:spacing w:before="60" w:after="60"/>
              <w:jc w:val="center"/>
              <w:rPr>
                <w:rFonts w:cs="Arial"/>
                <w:szCs w:val="20"/>
              </w:rPr>
            </w:pPr>
          </w:p>
        </w:tc>
        <w:tc>
          <w:tcPr>
            <w:tcW w:w="1260" w:type="dxa"/>
          </w:tcPr>
          <w:p w14:paraId="3DAB86AF" w14:textId="77777777" w:rsidR="00090998" w:rsidRDefault="00090998" w:rsidP="00090998">
            <w:pPr>
              <w:spacing w:before="60" w:after="60"/>
              <w:jc w:val="center"/>
              <w:rPr>
                <w:rFonts w:cs="Arial"/>
                <w:szCs w:val="20"/>
              </w:rPr>
            </w:pPr>
          </w:p>
        </w:tc>
        <w:tc>
          <w:tcPr>
            <w:tcW w:w="4140" w:type="dxa"/>
          </w:tcPr>
          <w:p w14:paraId="785ACE5F" w14:textId="77777777" w:rsidR="00090998" w:rsidRDefault="00090998" w:rsidP="00090998">
            <w:pPr>
              <w:spacing w:before="60" w:after="60"/>
              <w:jc w:val="center"/>
              <w:rPr>
                <w:rFonts w:cs="Arial"/>
                <w:szCs w:val="20"/>
              </w:rPr>
            </w:pPr>
          </w:p>
        </w:tc>
      </w:tr>
      <w:tr w:rsidR="00090998" w14:paraId="6C0FDFB4" w14:textId="77777777">
        <w:tc>
          <w:tcPr>
            <w:tcW w:w="1098" w:type="dxa"/>
          </w:tcPr>
          <w:p w14:paraId="3B8D3A43" w14:textId="77777777" w:rsidR="00090998" w:rsidRDefault="00090998" w:rsidP="00090998">
            <w:pPr>
              <w:spacing w:before="60" w:after="60"/>
              <w:jc w:val="center"/>
              <w:rPr>
                <w:rFonts w:cs="Arial"/>
                <w:szCs w:val="20"/>
              </w:rPr>
            </w:pPr>
          </w:p>
        </w:tc>
        <w:tc>
          <w:tcPr>
            <w:tcW w:w="1067" w:type="dxa"/>
          </w:tcPr>
          <w:p w14:paraId="3400E59F" w14:textId="77777777" w:rsidR="00090998" w:rsidRDefault="00090998" w:rsidP="00090998">
            <w:pPr>
              <w:spacing w:before="60" w:after="60"/>
              <w:jc w:val="center"/>
              <w:rPr>
                <w:rFonts w:cs="Arial"/>
                <w:szCs w:val="20"/>
              </w:rPr>
            </w:pPr>
          </w:p>
        </w:tc>
        <w:tc>
          <w:tcPr>
            <w:tcW w:w="2983" w:type="dxa"/>
          </w:tcPr>
          <w:p w14:paraId="2175D0F7" w14:textId="77777777" w:rsidR="00090998" w:rsidRDefault="00090998" w:rsidP="00090998">
            <w:pPr>
              <w:spacing w:before="60" w:after="60"/>
              <w:jc w:val="center"/>
              <w:rPr>
                <w:rFonts w:cs="Arial"/>
                <w:szCs w:val="20"/>
              </w:rPr>
            </w:pPr>
          </w:p>
        </w:tc>
        <w:tc>
          <w:tcPr>
            <w:tcW w:w="1260" w:type="dxa"/>
          </w:tcPr>
          <w:p w14:paraId="3FDE6328" w14:textId="77777777" w:rsidR="00090998" w:rsidRDefault="00090998" w:rsidP="00090998">
            <w:pPr>
              <w:spacing w:before="60" w:after="60"/>
              <w:jc w:val="center"/>
              <w:rPr>
                <w:rFonts w:cs="Arial"/>
                <w:szCs w:val="20"/>
              </w:rPr>
            </w:pPr>
          </w:p>
        </w:tc>
        <w:tc>
          <w:tcPr>
            <w:tcW w:w="4140" w:type="dxa"/>
          </w:tcPr>
          <w:p w14:paraId="518EBDB0" w14:textId="77777777" w:rsidR="00090998" w:rsidRDefault="00090998" w:rsidP="00090998">
            <w:pPr>
              <w:spacing w:before="60" w:after="60"/>
              <w:jc w:val="center"/>
              <w:rPr>
                <w:rFonts w:cs="Arial"/>
                <w:szCs w:val="20"/>
              </w:rPr>
            </w:pPr>
          </w:p>
        </w:tc>
      </w:tr>
      <w:tr w:rsidR="00090998" w14:paraId="5752EEB7" w14:textId="77777777">
        <w:trPr>
          <w:trHeight w:val="387"/>
        </w:trPr>
        <w:tc>
          <w:tcPr>
            <w:tcW w:w="1098" w:type="dxa"/>
          </w:tcPr>
          <w:p w14:paraId="3805E345" w14:textId="77777777" w:rsidR="00090998" w:rsidRDefault="00090998" w:rsidP="00090998">
            <w:pPr>
              <w:spacing w:before="60" w:after="60"/>
              <w:jc w:val="center"/>
              <w:rPr>
                <w:rFonts w:cs="Arial"/>
                <w:szCs w:val="20"/>
              </w:rPr>
            </w:pPr>
          </w:p>
        </w:tc>
        <w:tc>
          <w:tcPr>
            <w:tcW w:w="1067" w:type="dxa"/>
          </w:tcPr>
          <w:p w14:paraId="54EC90AD" w14:textId="77777777" w:rsidR="00090998" w:rsidRDefault="00090998" w:rsidP="00090998">
            <w:pPr>
              <w:spacing w:before="60" w:after="60"/>
              <w:jc w:val="center"/>
              <w:rPr>
                <w:rFonts w:cs="Arial"/>
                <w:szCs w:val="20"/>
              </w:rPr>
            </w:pPr>
          </w:p>
        </w:tc>
        <w:tc>
          <w:tcPr>
            <w:tcW w:w="2983" w:type="dxa"/>
          </w:tcPr>
          <w:p w14:paraId="1277290C" w14:textId="77777777" w:rsidR="00090998" w:rsidRDefault="00090998" w:rsidP="00090998">
            <w:pPr>
              <w:spacing w:before="60" w:after="60"/>
              <w:jc w:val="center"/>
              <w:rPr>
                <w:rFonts w:cs="Arial"/>
                <w:szCs w:val="20"/>
              </w:rPr>
            </w:pPr>
          </w:p>
        </w:tc>
        <w:tc>
          <w:tcPr>
            <w:tcW w:w="1260" w:type="dxa"/>
          </w:tcPr>
          <w:p w14:paraId="006E6FEE" w14:textId="77777777" w:rsidR="00090998" w:rsidRDefault="00090998" w:rsidP="00090998">
            <w:pPr>
              <w:spacing w:before="60" w:after="60"/>
              <w:jc w:val="center"/>
              <w:rPr>
                <w:rFonts w:cs="Arial"/>
                <w:szCs w:val="20"/>
              </w:rPr>
            </w:pPr>
          </w:p>
        </w:tc>
        <w:tc>
          <w:tcPr>
            <w:tcW w:w="4140" w:type="dxa"/>
          </w:tcPr>
          <w:p w14:paraId="27C8A447" w14:textId="77777777" w:rsidR="00090998" w:rsidRDefault="00090998" w:rsidP="00090998">
            <w:pPr>
              <w:spacing w:before="60" w:after="60"/>
              <w:jc w:val="center"/>
              <w:rPr>
                <w:rFonts w:cs="Arial"/>
                <w:szCs w:val="20"/>
              </w:rPr>
            </w:pPr>
          </w:p>
        </w:tc>
      </w:tr>
    </w:tbl>
    <w:p w14:paraId="239CCD4B" w14:textId="77777777" w:rsidR="00FA3BEE" w:rsidRDefault="00FA3BEE" w:rsidP="00090998">
      <w:pPr>
        <w:jc w:val="both"/>
        <w:rPr>
          <w:rFonts w:cs="Arial"/>
          <w:b/>
        </w:rPr>
      </w:pPr>
    </w:p>
    <w:p w14:paraId="517C7A21" w14:textId="77777777" w:rsidR="00090998" w:rsidRDefault="00090998" w:rsidP="00090998">
      <w:pPr>
        <w:jc w:val="both"/>
        <w:rPr>
          <w:rFonts w:cs="Arial"/>
          <w:b/>
        </w:rPr>
      </w:pPr>
      <w:r w:rsidRPr="00633DC0">
        <w:rPr>
          <w:rFonts w:cs="Arial"/>
          <w:b/>
        </w:rPr>
        <w:t xml:space="preserve">Related </w:t>
      </w:r>
      <w:r w:rsidR="00FA3BEE">
        <w:rPr>
          <w:rFonts w:cs="Arial"/>
          <w:b/>
        </w:rPr>
        <w:t>D</w:t>
      </w:r>
      <w:r w:rsidRPr="00633DC0">
        <w:rPr>
          <w:rFonts w:cs="Arial"/>
          <w:b/>
        </w:rPr>
        <w:t>ocuments</w:t>
      </w:r>
    </w:p>
    <w:p w14:paraId="2F66338F" w14:textId="77777777" w:rsidR="00090998" w:rsidRPr="00633DC0" w:rsidRDefault="00090998" w:rsidP="00090998">
      <w:pPr>
        <w:jc w:val="both"/>
        <w:rPr>
          <w:rFonts w:cs="Arial"/>
          <w:b/>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8460"/>
      </w:tblGrid>
      <w:tr w:rsidR="00090998" w14:paraId="4CA84B9E" w14:textId="77777777">
        <w:tc>
          <w:tcPr>
            <w:tcW w:w="2088" w:type="dxa"/>
          </w:tcPr>
          <w:p w14:paraId="7ED4BA2E" w14:textId="77777777" w:rsidR="00090998" w:rsidRDefault="00090998" w:rsidP="00090998">
            <w:pPr>
              <w:pStyle w:val="Heading7"/>
              <w:spacing w:before="60" w:after="60"/>
              <w:rPr>
                <w:sz w:val="24"/>
              </w:rPr>
            </w:pPr>
            <w:r>
              <w:rPr>
                <w:sz w:val="24"/>
              </w:rPr>
              <w:t>Document Type</w:t>
            </w:r>
          </w:p>
        </w:tc>
        <w:tc>
          <w:tcPr>
            <w:tcW w:w="8460" w:type="dxa"/>
          </w:tcPr>
          <w:p w14:paraId="41F7709F" w14:textId="77777777" w:rsidR="00090998" w:rsidRDefault="00090998" w:rsidP="00090998">
            <w:pPr>
              <w:spacing w:before="60" w:after="60"/>
              <w:rPr>
                <w:rFonts w:cs="Arial"/>
                <w:b/>
                <w:szCs w:val="20"/>
              </w:rPr>
            </w:pPr>
            <w:r>
              <w:rPr>
                <w:rFonts w:cs="Arial"/>
                <w:b/>
                <w:szCs w:val="20"/>
              </w:rPr>
              <w:t>Document Name</w:t>
            </w:r>
          </w:p>
        </w:tc>
      </w:tr>
      <w:tr w:rsidR="00090998" w14:paraId="24FA2F05" w14:textId="77777777">
        <w:tc>
          <w:tcPr>
            <w:tcW w:w="2088" w:type="dxa"/>
          </w:tcPr>
          <w:p w14:paraId="6F69CDA7" w14:textId="77777777" w:rsidR="00090998" w:rsidRDefault="00090998" w:rsidP="00090998">
            <w:pPr>
              <w:spacing w:before="60" w:after="60"/>
              <w:jc w:val="both"/>
              <w:rPr>
                <w:rFonts w:cs="Arial"/>
                <w:szCs w:val="20"/>
              </w:rPr>
            </w:pPr>
          </w:p>
        </w:tc>
        <w:tc>
          <w:tcPr>
            <w:tcW w:w="8460" w:type="dxa"/>
          </w:tcPr>
          <w:p w14:paraId="49037707" w14:textId="77777777" w:rsidR="00090998" w:rsidRDefault="00090998" w:rsidP="00090998">
            <w:pPr>
              <w:spacing w:before="60" w:after="60"/>
              <w:jc w:val="both"/>
              <w:rPr>
                <w:rFonts w:cs="Arial"/>
                <w:szCs w:val="20"/>
              </w:rPr>
            </w:pPr>
          </w:p>
        </w:tc>
      </w:tr>
    </w:tbl>
    <w:p w14:paraId="2CEAA6BD" w14:textId="77777777" w:rsidR="00090998" w:rsidRDefault="00090998" w:rsidP="00090998">
      <w:pPr>
        <w:spacing w:before="200" w:after="200"/>
        <w:jc w:val="both"/>
        <w:rPr>
          <w:rFonts w:cs="Arial"/>
          <w:b/>
        </w:rPr>
      </w:pPr>
    </w:p>
    <w:p w14:paraId="410B64EC" w14:textId="77777777" w:rsidR="0058032B" w:rsidRDefault="0058032B" w:rsidP="0058032B">
      <w:pPr>
        <w:rPr>
          <w:b/>
        </w:rPr>
      </w:pPr>
      <w:r w:rsidRPr="008020EB">
        <w:rPr>
          <w:b/>
        </w:rPr>
        <w:t>Abbreviations</w:t>
      </w:r>
    </w:p>
    <w:p w14:paraId="6D2B776A" w14:textId="77777777" w:rsidR="0058032B" w:rsidRPr="008020EB" w:rsidRDefault="0058032B" w:rsidP="0058032B">
      <w:pPr>
        <w:rPr>
          <w:b/>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8460"/>
      </w:tblGrid>
      <w:tr w:rsidR="0058032B" w14:paraId="740D66CB" w14:textId="77777777" w:rsidTr="00A17760">
        <w:tc>
          <w:tcPr>
            <w:tcW w:w="2088" w:type="dxa"/>
          </w:tcPr>
          <w:p w14:paraId="37911ADD" w14:textId="77777777" w:rsidR="0058032B" w:rsidRDefault="004C2512" w:rsidP="00A17760">
            <w:pPr>
              <w:spacing w:before="60" w:after="60"/>
              <w:jc w:val="both"/>
              <w:rPr>
                <w:rFonts w:cs="Arial"/>
                <w:szCs w:val="20"/>
              </w:rPr>
            </w:pPr>
            <w:r>
              <w:rPr>
                <w:rFonts w:cs="Arial"/>
                <w:szCs w:val="20"/>
              </w:rPr>
              <w:t>SPT</w:t>
            </w:r>
          </w:p>
        </w:tc>
        <w:tc>
          <w:tcPr>
            <w:tcW w:w="8460" w:type="dxa"/>
          </w:tcPr>
          <w:p w14:paraId="54C065C7" w14:textId="77777777" w:rsidR="0058032B" w:rsidRDefault="004C2512" w:rsidP="00A17760">
            <w:pPr>
              <w:spacing w:before="60" w:after="60"/>
              <w:jc w:val="both"/>
              <w:rPr>
                <w:rFonts w:cs="Arial"/>
                <w:szCs w:val="20"/>
              </w:rPr>
            </w:pPr>
            <w:r>
              <w:rPr>
                <w:rFonts w:cs="Arial"/>
                <w:szCs w:val="20"/>
              </w:rPr>
              <w:t>Skin prick test</w:t>
            </w:r>
          </w:p>
        </w:tc>
      </w:tr>
      <w:tr w:rsidR="0058032B" w14:paraId="0FAFE74C" w14:textId="77777777" w:rsidTr="00A17760">
        <w:tc>
          <w:tcPr>
            <w:tcW w:w="2088" w:type="dxa"/>
          </w:tcPr>
          <w:p w14:paraId="412D8257" w14:textId="77777777" w:rsidR="0058032B" w:rsidRDefault="0058032B" w:rsidP="00A17760">
            <w:pPr>
              <w:spacing w:before="60" w:after="60"/>
              <w:jc w:val="both"/>
              <w:rPr>
                <w:rFonts w:cs="Arial"/>
                <w:szCs w:val="20"/>
              </w:rPr>
            </w:pPr>
          </w:p>
        </w:tc>
        <w:tc>
          <w:tcPr>
            <w:tcW w:w="8460" w:type="dxa"/>
          </w:tcPr>
          <w:p w14:paraId="09EE228B" w14:textId="77777777" w:rsidR="0058032B" w:rsidRDefault="0058032B" w:rsidP="00A17760">
            <w:pPr>
              <w:spacing w:before="60" w:after="60"/>
              <w:jc w:val="both"/>
              <w:rPr>
                <w:rFonts w:cs="Arial"/>
                <w:szCs w:val="20"/>
              </w:rPr>
            </w:pPr>
          </w:p>
        </w:tc>
      </w:tr>
    </w:tbl>
    <w:p w14:paraId="6A48F5F2" w14:textId="77777777" w:rsidR="00EC5BBC" w:rsidRDefault="00EC5BBC" w:rsidP="00EC5BBC"/>
    <w:p w14:paraId="0C102C9E" w14:textId="77777777" w:rsidR="00EC5BBC" w:rsidRPr="00EC5BBC" w:rsidRDefault="00EC5BBC" w:rsidP="00EC5BBC">
      <w:pPr>
        <w:rPr>
          <w:rFonts w:ascii="Arial Bold" w:hAnsi="Arial Bold"/>
          <w:caps/>
        </w:rPr>
      </w:pPr>
    </w:p>
    <w:p w14:paraId="638C6BDC" w14:textId="77777777" w:rsidR="00EC5BBC" w:rsidRDefault="00EC5BBC" w:rsidP="00EC5BBC">
      <w:pPr>
        <w:tabs>
          <w:tab w:val="left" w:pos="5415"/>
        </w:tabs>
        <w:autoSpaceDE w:val="0"/>
        <w:autoSpaceDN w:val="0"/>
        <w:adjustRightInd w:val="0"/>
        <w:rPr>
          <w:rFonts w:cs="AdvAgfaRS"/>
          <w:b/>
          <w:u w:val="single"/>
        </w:rPr>
      </w:pPr>
    </w:p>
    <w:p w14:paraId="1D12B52F" w14:textId="77777777" w:rsidR="00EC5BBC" w:rsidRPr="00EC5BBC" w:rsidRDefault="00EC5BBC" w:rsidP="00EC5BBC">
      <w:pPr>
        <w:pStyle w:val="ListParagraph"/>
        <w:numPr>
          <w:ilvl w:val="0"/>
          <w:numId w:val="22"/>
        </w:numPr>
        <w:tabs>
          <w:tab w:val="left" w:pos="5415"/>
        </w:tabs>
        <w:autoSpaceDE w:val="0"/>
        <w:autoSpaceDN w:val="0"/>
        <w:adjustRightInd w:val="0"/>
        <w:rPr>
          <w:rFonts w:cs="AdvAgfaRS"/>
          <w:b/>
        </w:rPr>
      </w:pPr>
      <w:r w:rsidRPr="00EC5BBC">
        <w:rPr>
          <w:rFonts w:cs="AdvAgfaRS"/>
          <w:b/>
        </w:rPr>
        <w:t>Background</w:t>
      </w:r>
    </w:p>
    <w:p w14:paraId="71BD92E1" w14:textId="77777777" w:rsidR="00EC5BBC" w:rsidRDefault="00EC5BBC" w:rsidP="00EC5BBC">
      <w:pPr>
        <w:tabs>
          <w:tab w:val="left" w:pos="5415"/>
        </w:tabs>
        <w:autoSpaceDE w:val="0"/>
        <w:autoSpaceDN w:val="0"/>
        <w:adjustRightInd w:val="0"/>
        <w:rPr>
          <w:rFonts w:cs="AdvAgfaRS"/>
          <w:u w:val="single"/>
        </w:rPr>
      </w:pPr>
    </w:p>
    <w:p w14:paraId="10B8B488" w14:textId="77777777" w:rsidR="00EC5BBC" w:rsidRDefault="0019109A" w:rsidP="00EC5BBC">
      <w:pPr>
        <w:pStyle w:val="ListParagraph"/>
        <w:numPr>
          <w:ilvl w:val="0"/>
          <w:numId w:val="17"/>
        </w:numPr>
        <w:tabs>
          <w:tab w:val="left" w:pos="5415"/>
        </w:tabs>
        <w:autoSpaceDE w:val="0"/>
        <w:autoSpaceDN w:val="0"/>
        <w:adjustRightInd w:val="0"/>
        <w:contextualSpacing/>
        <w:rPr>
          <w:rFonts w:cs="AdvAgfaRS"/>
        </w:rPr>
      </w:pPr>
      <w:r>
        <w:rPr>
          <w:rFonts w:cs="AdvAgfaRS"/>
        </w:rPr>
        <w:t>Primary nut allergy a</w:t>
      </w:r>
      <w:r w:rsidR="00EC5BBC">
        <w:rPr>
          <w:rFonts w:cs="AdvAgfaRS"/>
        </w:rPr>
        <w:t>ffects 2% of children in the UK</w:t>
      </w:r>
    </w:p>
    <w:p w14:paraId="18F28360" w14:textId="77777777" w:rsidR="00EC5BBC" w:rsidRDefault="00EC5BBC" w:rsidP="00EC5BBC">
      <w:pPr>
        <w:pStyle w:val="ListParagraph"/>
        <w:numPr>
          <w:ilvl w:val="0"/>
          <w:numId w:val="17"/>
        </w:numPr>
        <w:tabs>
          <w:tab w:val="left" w:pos="5415"/>
        </w:tabs>
        <w:autoSpaceDE w:val="0"/>
        <w:autoSpaceDN w:val="0"/>
        <w:adjustRightInd w:val="0"/>
        <w:contextualSpacing/>
        <w:rPr>
          <w:rFonts w:cs="AdvAgfaRS"/>
        </w:rPr>
      </w:pPr>
      <w:r>
        <w:rPr>
          <w:rFonts w:cs="AdvAgfaRS"/>
        </w:rPr>
        <w:t>Children with eczema &amp; egg allergy are at higher risk of peanut allergy</w:t>
      </w:r>
    </w:p>
    <w:p w14:paraId="2AA6B5AB" w14:textId="77777777" w:rsidR="00EC5BBC" w:rsidRDefault="00EC5BBC" w:rsidP="00EC5BBC">
      <w:pPr>
        <w:pStyle w:val="ListParagraph"/>
        <w:numPr>
          <w:ilvl w:val="0"/>
          <w:numId w:val="17"/>
        </w:numPr>
        <w:tabs>
          <w:tab w:val="left" w:pos="5415"/>
        </w:tabs>
        <w:autoSpaceDE w:val="0"/>
        <w:autoSpaceDN w:val="0"/>
        <w:adjustRightInd w:val="0"/>
        <w:contextualSpacing/>
        <w:rPr>
          <w:rFonts w:cs="AdvAgfaRS"/>
        </w:rPr>
      </w:pPr>
      <w:r>
        <w:rPr>
          <w:rFonts w:cs="AdvAgfaRS"/>
        </w:rPr>
        <w:t>Usually presents within the first 5 years of life</w:t>
      </w:r>
    </w:p>
    <w:p w14:paraId="58943903" w14:textId="77777777" w:rsidR="00EC5BBC" w:rsidRDefault="00EC5BBC" w:rsidP="00EC5BBC">
      <w:pPr>
        <w:pStyle w:val="ListParagraph"/>
        <w:numPr>
          <w:ilvl w:val="0"/>
          <w:numId w:val="17"/>
        </w:numPr>
        <w:tabs>
          <w:tab w:val="left" w:pos="5415"/>
        </w:tabs>
        <w:autoSpaceDE w:val="0"/>
        <w:autoSpaceDN w:val="0"/>
        <w:adjustRightInd w:val="0"/>
        <w:contextualSpacing/>
        <w:rPr>
          <w:rFonts w:cs="AdvAgfaRS"/>
        </w:rPr>
      </w:pPr>
      <w:r>
        <w:rPr>
          <w:rFonts w:cs="AdvAgfaRS"/>
        </w:rPr>
        <w:t xml:space="preserve">20% of peanut allergy and 9% of tree nut allergy resolves usually by age 6 years </w:t>
      </w:r>
    </w:p>
    <w:p w14:paraId="495C0467" w14:textId="77777777" w:rsidR="00EC5BBC" w:rsidRDefault="00EC5BBC" w:rsidP="00EC5BBC">
      <w:pPr>
        <w:pStyle w:val="ListParagraph"/>
        <w:tabs>
          <w:tab w:val="left" w:pos="5415"/>
        </w:tabs>
        <w:autoSpaceDE w:val="0"/>
        <w:autoSpaceDN w:val="0"/>
        <w:adjustRightInd w:val="0"/>
        <w:contextualSpacing/>
        <w:rPr>
          <w:rFonts w:cs="AdvAgfaRS"/>
        </w:rPr>
      </w:pPr>
    </w:p>
    <w:p w14:paraId="6A21B4DD" w14:textId="77777777" w:rsidR="00EC5BBC" w:rsidRDefault="00EC5BBC" w:rsidP="00EC5BBC">
      <w:pPr>
        <w:tabs>
          <w:tab w:val="left" w:pos="5415"/>
        </w:tabs>
        <w:autoSpaceDE w:val="0"/>
        <w:autoSpaceDN w:val="0"/>
        <w:adjustRightInd w:val="0"/>
        <w:rPr>
          <w:rFonts w:cs="AdvAgfaRS"/>
        </w:rPr>
      </w:pPr>
    </w:p>
    <w:p w14:paraId="2A246D22" w14:textId="77777777" w:rsidR="00EC5BBC" w:rsidRPr="00EC5BBC" w:rsidRDefault="00EC5BBC" w:rsidP="00EC5BBC">
      <w:pPr>
        <w:pStyle w:val="ListParagraph"/>
        <w:numPr>
          <w:ilvl w:val="0"/>
          <w:numId w:val="22"/>
        </w:numPr>
        <w:tabs>
          <w:tab w:val="left" w:pos="5415"/>
        </w:tabs>
        <w:autoSpaceDE w:val="0"/>
        <w:autoSpaceDN w:val="0"/>
        <w:adjustRightInd w:val="0"/>
        <w:rPr>
          <w:rFonts w:cs="AdvAgfaRS"/>
          <w:b/>
        </w:rPr>
      </w:pPr>
      <w:r w:rsidRPr="00EC5BBC">
        <w:rPr>
          <w:rFonts w:cs="AdvAgfaRS"/>
          <w:b/>
        </w:rPr>
        <w:t>Presentation</w:t>
      </w:r>
    </w:p>
    <w:p w14:paraId="527B8BF0" w14:textId="77777777" w:rsidR="00EC5BBC" w:rsidRDefault="00EC5BBC" w:rsidP="00EC5BBC">
      <w:pPr>
        <w:tabs>
          <w:tab w:val="left" w:pos="5415"/>
        </w:tabs>
        <w:autoSpaceDE w:val="0"/>
        <w:autoSpaceDN w:val="0"/>
        <w:adjustRightInd w:val="0"/>
        <w:rPr>
          <w:rFonts w:cs="AdvAgfaRS"/>
          <w:u w:val="single"/>
        </w:rPr>
      </w:pPr>
    </w:p>
    <w:p w14:paraId="68B4672D" w14:textId="77777777" w:rsidR="00EC5BBC" w:rsidRPr="00646340" w:rsidRDefault="00EC5BBC" w:rsidP="00EC5BBC">
      <w:pPr>
        <w:pStyle w:val="ListParagraph"/>
        <w:numPr>
          <w:ilvl w:val="0"/>
          <w:numId w:val="18"/>
        </w:numPr>
        <w:tabs>
          <w:tab w:val="left" w:pos="5415"/>
        </w:tabs>
        <w:autoSpaceDE w:val="0"/>
        <w:autoSpaceDN w:val="0"/>
        <w:adjustRightInd w:val="0"/>
        <w:contextualSpacing/>
        <w:rPr>
          <w:rFonts w:cs="AdvAgfaRS"/>
        </w:rPr>
      </w:pPr>
      <w:r w:rsidRPr="002E33AD">
        <w:rPr>
          <w:rFonts w:cs="AdvAgfaRS"/>
        </w:rPr>
        <w:t>Primary nut allergy presents most commonly in</w:t>
      </w:r>
      <w:r>
        <w:rPr>
          <w:rFonts w:cs="AdvAgfaRS"/>
        </w:rPr>
        <w:t xml:space="preserve"> </w:t>
      </w:r>
      <w:r w:rsidRPr="002E33AD">
        <w:rPr>
          <w:rFonts w:cs="AdvAgfaRS"/>
        </w:rPr>
        <w:t>the first five years of l</w:t>
      </w:r>
      <w:r>
        <w:rPr>
          <w:rFonts w:cs="AdvAgfaRS"/>
        </w:rPr>
        <w:t xml:space="preserve">ife, often after the first known </w:t>
      </w:r>
      <w:r w:rsidRPr="002E33AD">
        <w:rPr>
          <w:rFonts w:cs="AdvAgfaRS"/>
        </w:rPr>
        <w:t xml:space="preserve">ingestion, with typical rapid-onset </w:t>
      </w:r>
      <w:proofErr w:type="spellStart"/>
      <w:r w:rsidRPr="002E33AD">
        <w:rPr>
          <w:rFonts w:cs="AdvAgfaRS"/>
        </w:rPr>
        <w:t>IgE</w:t>
      </w:r>
      <w:proofErr w:type="spellEnd"/>
      <w:r w:rsidRPr="002E33AD">
        <w:rPr>
          <w:rFonts w:cs="AdvAgfaRS"/>
        </w:rPr>
        <w:t>-mediated</w:t>
      </w:r>
      <w:r>
        <w:rPr>
          <w:rFonts w:cs="AdvAgfaRS"/>
        </w:rPr>
        <w:t xml:space="preserve"> </w:t>
      </w:r>
      <w:r w:rsidRPr="002E33AD">
        <w:rPr>
          <w:rFonts w:cs="AdvAgfaRS"/>
        </w:rPr>
        <w:t>symptoms</w:t>
      </w:r>
    </w:p>
    <w:p w14:paraId="6BE72640" w14:textId="77777777" w:rsidR="00EC5BBC" w:rsidRDefault="00EC5BBC" w:rsidP="00EC5BBC">
      <w:pPr>
        <w:pStyle w:val="ListParagraph"/>
        <w:numPr>
          <w:ilvl w:val="0"/>
          <w:numId w:val="18"/>
        </w:numPr>
        <w:tabs>
          <w:tab w:val="left" w:pos="5415"/>
        </w:tabs>
        <w:autoSpaceDE w:val="0"/>
        <w:autoSpaceDN w:val="0"/>
        <w:adjustRightInd w:val="0"/>
        <w:contextualSpacing/>
        <w:rPr>
          <w:rFonts w:cs="AdvAgfaRS"/>
        </w:rPr>
      </w:pPr>
      <w:r w:rsidRPr="00646340">
        <w:rPr>
          <w:rFonts w:cs="AdvAgfaRS"/>
        </w:rPr>
        <w:t>Pollen food syndrome is a distinct disorder, usually</w:t>
      </w:r>
      <w:r>
        <w:rPr>
          <w:rFonts w:cs="AdvAgfaRS"/>
        </w:rPr>
        <w:t xml:space="preserve"> </w:t>
      </w:r>
      <w:r w:rsidRPr="00646340">
        <w:rPr>
          <w:rFonts w:cs="AdvAgfaRS"/>
        </w:rPr>
        <w:t>mild, with oral/pharyngeal symptoms, in the context of</w:t>
      </w:r>
      <w:r>
        <w:rPr>
          <w:rFonts w:cs="AdvAgfaRS"/>
        </w:rPr>
        <w:t xml:space="preserve"> </w:t>
      </w:r>
      <w:r w:rsidRPr="00646340">
        <w:rPr>
          <w:rFonts w:cs="AdvAgfaRS"/>
        </w:rPr>
        <w:t>hay</w:t>
      </w:r>
      <w:r w:rsidR="00D70396">
        <w:rPr>
          <w:rFonts w:cs="AdvAgfaRS"/>
        </w:rPr>
        <w:t>-</w:t>
      </w:r>
      <w:r w:rsidRPr="00646340">
        <w:rPr>
          <w:rFonts w:cs="AdvAgfaRS"/>
        </w:rPr>
        <w:t>fever or pollen sensitisation, which can be triggered</w:t>
      </w:r>
      <w:r>
        <w:rPr>
          <w:rFonts w:cs="AdvAgfaRS"/>
        </w:rPr>
        <w:t xml:space="preserve"> </w:t>
      </w:r>
      <w:r w:rsidR="00EC7056">
        <w:rPr>
          <w:rFonts w:cs="AdvAgfaRS"/>
        </w:rPr>
        <w:t>by nuts</w:t>
      </w:r>
    </w:p>
    <w:p w14:paraId="1DB35D96" w14:textId="77777777" w:rsidR="00EC5BBC" w:rsidRDefault="00EC5BBC" w:rsidP="00EC5BBC">
      <w:pPr>
        <w:pStyle w:val="ListParagraph"/>
        <w:numPr>
          <w:ilvl w:val="0"/>
          <w:numId w:val="18"/>
        </w:numPr>
        <w:tabs>
          <w:tab w:val="left" w:pos="5415"/>
        </w:tabs>
        <w:autoSpaceDE w:val="0"/>
        <w:autoSpaceDN w:val="0"/>
        <w:adjustRightInd w:val="0"/>
        <w:contextualSpacing/>
        <w:rPr>
          <w:rFonts w:cs="AdvAgfaRS"/>
        </w:rPr>
      </w:pPr>
      <w:r>
        <w:rPr>
          <w:rFonts w:cs="AdvAgfaRS"/>
        </w:rPr>
        <w:t>Previous severe reaction is a risk factor for another severe reaction</w:t>
      </w:r>
    </w:p>
    <w:p w14:paraId="051A128C" w14:textId="77777777" w:rsidR="00EC5BBC" w:rsidRDefault="00EC5BBC" w:rsidP="00EC5BBC">
      <w:pPr>
        <w:pStyle w:val="ListParagraph"/>
        <w:numPr>
          <w:ilvl w:val="0"/>
          <w:numId w:val="18"/>
        </w:numPr>
        <w:tabs>
          <w:tab w:val="left" w:pos="5415"/>
        </w:tabs>
        <w:autoSpaceDE w:val="0"/>
        <w:autoSpaceDN w:val="0"/>
        <w:adjustRightInd w:val="0"/>
        <w:contextualSpacing/>
        <w:rPr>
          <w:rFonts w:cs="AdvAgfaRS"/>
        </w:rPr>
      </w:pPr>
      <w:r w:rsidRPr="00646340">
        <w:rPr>
          <w:rFonts w:cs="AdvAgfaRS"/>
        </w:rPr>
        <w:t>Most patients with</w:t>
      </w:r>
      <w:r>
        <w:rPr>
          <w:rFonts w:cs="AdvAgfaRS"/>
        </w:rPr>
        <w:t xml:space="preserve"> </w:t>
      </w:r>
      <w:r w:rsidRPr="00646340">
        <w:rPr>
          <w:rFonts w:cs="AdvAgfaRS"/>
        </w:rPr>
        <w:t>mild reactions do not go on to have severe reactions</w:t>
      </w:r>
    </w:p>
    <w:p w14:paraId="54462A2C" w14:textId="77777777" w:rsidR="00EC5BBC" w:rsidRDefault="00EC5BBC" w:rsidP="00EC5BBC">
      <w:pPr>
        <w:pStyle w:val="ListParagraph"/>
        <w:numPr>
          <w:ilvl w:val="0"/>
          <w:numId w:val="18"/>
        </w:numPr>
        <w:tabs>
          <w:tab w:val="left" w:pos="5415"/>
        </w:tabs>
        <w:autoSpaceDE w:val="0"/>
        <w:autoSpaceDN w:val="0"/>
        <w:adjustRightInd w:val="0"/>
        <w:contextualSpacing/>
        <w:rPr>
          <w:rFonts w:cs="AdvAgfaRS"/>
        </w:rPr>
      </w:pPr>
      <w:r>
        <w:rPr>
          <w:rFonts w:cs="AdvAgfaRS"/>
        </w:rPr>
        <w:t>Clinical history of asthma increases the risk of a severe reaction</w:t>
      </w:r>
    </w:p>
    <w:p w14:paraId="22CCC55C" w14:textId="77777777" w:rsidR="00EC5BBC" w:rsidRDefault="00EC5BBC" w:rsidP="00EC5BBC">
      <w:pPr>
        <w:pStyle w:val="ListParagraph"/>
        <w:tabs>
          <w:tab w:val="left" w:pos="5415"/>
        </w:tabs>
        <w:autoSpaceDE w:val="0"/>
        <w:autoSpaceDN w:val="0"/>
        <w:adjustRightInd w:val="0"/>
        <w:contextualSpacing/>
        <w:rPr>
          <w:rFonts w:cs="AdvAgfaRS"/>
        </w:rPr>
      </w:pPr>
    </w:p>
    <w:p w14:paraId="24BC1910" w14:textId="77777777" w:rsidR="00EC5BBC" w:rsidRDefault="00EC5BBC" w:rsidP="00EC5BBC">
      <w:pPr>
        <w:tabs>
          <w:tab w:val="left" w:pos="5415"/>
        </w:tabs>
        <w:autoSpaceDE w:val="0"/>
        <w:autoSpaceDN w:val="0"/>
        <w:adjustRightInd w:val="0"/>
        <w:rPr>
          <w:rFonts w:cs="AdvAgfaRS"/>
        </w:rPr>
      </w:pPr>
    </w:p>
    <w:p w14:paraId="5F1A4EF5" w14:textId="77777777" w:rsidR="00EC5BBC" w:rsidRPr="00EC5BBC" w:rsidRDefault="00EC5BBC" w:rsidP="00EC5BBC">
      <w:pPr>
        <w:pStyle w:val="ListParagraph"/>
        <w:numPr>
          <w:ilvl w:val="0"/>
          <w:numId w:val="22"/>
        </w:numPr>
        <w:tabs>
          <w:tab w:val="left" w:pos="5415"/>
        </w:tabs>
        <w:autoSpaceDE w:val="0"/>
        <w:autoSpaceDN w:val="0"/>
        <w:adjustRightInd w:val="0"/>
        <w:rPr>
          <w:rFonts w:cs="AdvAgfaRS"/>
          <w:b/>
        </w:rPr>
      </w:pPr>
      <w:r w:rsidRPr="00EC5BBC">
        <w:rPr>
          <w:rFonts w:cs="AdvAgfaRS"/>
          <w:b/>
        </w:rPr>
        <w:t>Diagnosis</w:t>
      </w:r>
    </w:p>
    <w:p w14:paraId="0F53E62C" w14:textId="77777777" w:rsidR="00EC5BBC" w:rsidRDefault="00EC5BBC" w:rsidP="00EC5BBC">
      <w:pPr>
        <w:tabs>
          <w:tab w:val="left" w:pos="5415"/>
        </w:tabs>
        <w:autoSpaceDE w:val="0"/>
        <w:autoSpaceDN w:val="0"/>
        <w:adjustRightInd w:val="0"/>
        <w:rPr>
          <w:rFonts w:cs="AdvAgfaRS"/>
          <w:u w:val="single"/>
        </w:rPr>
      </w:pPr>
    </w:p>
    <w:p w14:paraId="20B1DF4F" w14:textId="77777777" w:rsidR="00EC5BBC" w:rsidRDefault="00EC5BBC" w:rsidP="00EC5BBC">
      <w:pPr>
        <w:pStyle w:val="ListParagraph"/>
        <w:numPr>
          <w:ilvl w:val="0"/>
          <w:numId w:val="19"/>
        </w:numPr>
        <w:tabs>
          <w:tab w:val="left" w:pos="5415"/>
        </w:tabs>
        <w:autoSpaceDE w:val="0"/>
        <w:autoSpaceDN w:val="0"/>
        <w:adjustRightInd w:val="0"/>
        <w:contextualSpacing/>
        <w:rPr>
          <w:rFonts w:cs="AdvAgfaRS"/>
        </w:rPr>
      </w:pPr>
      <w:r>
        <w:rPr>
          <w:rFonts w:cs="AdvAgfaRS"/>
        </w:rPr>
        <w:t>Clinical history is the cornerstone of diagnosis for nut allergy</w:t>
      </w:r>
    </w:p>
    <w:p w14:paraId="62D08B73" w14:textId="77777777" w:rsidR="00EC5BBC" w:rsidRDefault="00EC5BBC" w:rsidP="00EC5BBC">
      <w:pPr>
        <w:pStyle w:val="ListParagraph"/>
        <w:numPr>
          <w:ilvl w:val="0"/>
          <w:numId w:val="19"/>
        </w:numPr>
        <w:tabs>
          <w:tab w:val="left" w:pos="5415"/>
        </w:tabs>
        <w:autoSpaceDE w:val="0"/>
        <w:autoSpaceDN w:val="0"/>
        <w:adjustRightInd w:val="0"/>
        <w:contextualSpacing/>
        <w:rPr>
          <w:rFonts w:cs="AdvAgfaRS"/>
        </w:rPr>
      </w:pPr>
      <w:r>
        <w:rPr>
          <w:rFonts w:cs="AdvAgfaRS"/>
        </w:rPr>
        <w:t xml:space="preserve">Skin prick testing or serum </w:t>
      </w:r>
      <w:proofErr w:type="spellStart"/>
      <w:r>
        <w:rPr>
          <w:rFonts w:cs="AdvAgfaRS"/>
        </w:rPr>
        <w:t>IgE</w:t>
      </w:r>
      <w:proofErr w:type="spellEnd"/>
      <w:r>
        <w:rPr>
          <w:rFonts w:cs="AdvAgfaRS"/>
        </w:rPr>
        <w:t xml:space="preserve"> to support diagnosis</w:t>
      </w:r>
    </w:p>
    <w:p w14:paraId="7582ABFE" w14:textId="77777777" w:rsidR="00EC5BBC" w:rsidRPr="00684BA8" w:rsidRDefault="00EC5BBC" w:rsidP="00684BA8">
      <w:pPr>
        <w:pStyle w:val="ListParagraph"/>
        <w:numPr>
          <w:ilvl w:val="0"/>
          <w:numId w:val="19"/>
        </w:numPr>
        <w:tabs>
          <w:tab w:val="left" w:pos="5415"/>
        </w:tabs>
        <w:autoSpaceDE w:val="0"/>
        <w:autoSpaceDN w:val="0"/>
        <w:adjustRightInd w:val="0"/>
        <w:contextualSpacing/>
        <w:rPr>
          <w:rFonts w:cs="AdvAgfaRS"/>
        </w:rPr>
      </w:pPr>
      <w:r>
        <w:rPr>
          <w:rFonts w:cs="AdvAgfaRS"/>
        </w:rPr>
        <w:lastRenderedPageBreak/>
        <w:t>If +</w:t>
      </w:r>
      <w:proofErr w:type="spellStart"/>
      <w:r>
        <w:rPr>
          <w:rFonts w:cs="AdvAgfaRS"/>
        </w:rPr>
        <w:t>ve</w:t>
      </w:r>
      <w:proofErr w:type="spellEnd"/>
      <w:r>
        <w:rPr>
          <w:rFonts w:cs="AdvAgfaRS"/>
        </w:rPr>
        <w:t xml:space="preserve"> SPT &gt; 3mm or </w:t>
      </w:r>
      <w:proofErr w:type="spellStart"/>
      <w:r>
        <w:rPr>
          <w:rFonts w:cs="AdvAgfaRS"/>
        </w:rPr>
        <w:t>IgE</w:t>
      </w:r>
      <w:proofErr w:type="spellEnd"/>
      <w:r>
        <w:rPr>
          <w:rFonts w:cs="AdvAgfaRS"/>
        </w:rPr>
        <w:t xml:space="preserve"> &gt; 0.35 in context of suggestive history give diagnosis of peanut allergy and advise avoidance</w:t>
      </w:r>
    </w:p>
    <w:p w14:paraId="310D1AB9" w14:textId="77777777" w:rsidR="00EC5BBC" w:rsidRDefault="00EC5BBC" w:rsidP="00EC5BBC">
      <w:pPr>
        <w:pStyle w:val="ListParagraph"/>
        <w:numPr>
          <w:ilvl w:val="0"/>
          <w:numId w:val="19"/>
        </w:numPr>
        <w:tabs>
          <w:tab w:val="left" w:pos="5415"/>
        </w:tabs>
        <w:autoSpaceDE w:val="0"/>
        <w:autoSpaceDN w:val="0"/>
        <w:adjustRightInd w:val="0"/>
        <w:contextualSpacing/>
        <w:rPr>
          <w:rFonts w:cs="AdvAgfaRS"/>
        </w:rPr>
      </w:pPr>
      <w:r>
        <w:rPr>
          <w:rFonts w:cs="AdvAgfaRS"/>
        </w:rPr>
        <w:t>SPT wheal does not correlate with clinical severity</w:t>
      </w:r>
    </w:p>
    <w:p w14:paraId="5EC6F0F7" w14:textId="77777777" w:rsidR="00EC5BBC" w:rsidRDefault="00EC5BBC" w:rsidP="00EC5BBC">
      <w:pPr>
        <w:pStyle w:val="ListParagraph"/>
        <w:numPr>
          <w:ilvl w:val="0"/>
          <w:numId w:val="19"/>
        </w:numPr>
        <w:tabs>
          <w:tab w:val="left" w:pos="5415"/>
        </w:tabs>
        <w:autoSpaceDE w:val="0"/>
        <w:autoSpaceDN w:val="0"/>
        <w:adjustRightInd w:val="0"/>
        <w:contextualSpacing/>
        <w:rPr>
          <w:rFonts w:cs="AdvAgfaRS"/>
        </w:rPr>
      </w:pPr>
      <w:r>
        <w:rPr>
          <w:rFonts w:cs="AdvAgfaRS"/>
        </w:rPr>
        <w:t>Children with 1 nut allergy are at risk of allergy to other nuts therefore if not already tolerating they should also be tested to the other nuts.</w:t>
      </w:r>
    </w:p>
    <w:p w14:paraId="111711B2" w14:textId="77777777" w:rsidR="00EC5BBC" w:rsidRDefault="00EC5BBC" w:rsidP="00EC5BBC">
      <w:pPr>
        <w:pStyle w:val="ListParagraph"/>
        <w:numPr>
          <w:ilvl w:val="0"/>
          <w:numId w:val="19"/>
        </w:numPr>
        <w:tabs>
          <w:tab w:val="left" w:pos="5415"/>
        </w:tabs>
        <w:autoSpaceDE w:val="0"/>
        <w:autoSpaceDN w:val="0"/>
        <w:adjustRightInd w:val="0"/>
        <w:contextualSpacing/>
        <w:rPr>
          <w:rFonts w:cs="AdvAgfaRS"/>
        </w:rPr>
      </w:pPr>
      <w:r>
        <w:rPr>
          <w:rFonts w:cs="AdvAgfaRS"/>
        </w:rPr>
        <w:t>Do not test to nuts that are tolerated in the diet</w:t>
      </w:r>
    </w:p>
    <w:p w14:paraId="3D0E8499" w14:textId="77777777" w:rsidR="00EC5BBC" w:rsidRDefault="00EC5BBC" w:rsidP="00EC5BBC">
      <w:pPr>
        <w:pStyle w:val="ListParagraph"/>
        <w:tabs>
          <w:tab w:val="left" w:pos="5415"/>
        </w:tabs>
        <w:autoSpaceDE w:val="0"/>
        <w:autoSpaceDN w:val="0"/>
        <w:adjustRightInd w:val="0"/>
        <w:contextualSpacing/>
        <w:rPr>
          <w:rFonts w:cs="AdvAgfaRS"/>
        </w:rPr>
      </w:pPr>
    </w:p>
    <w:p w14:paraId="7101BE7E" w14:textId="77777777" w:rsidR="00EC5BBC" w:rsidRDefault="00EC5BBC" w:rsidP="00EC5BBC">
      <w:pPr>
        <w:tabs>
          <w:tab w:val="left" w:pos="5415"/>
        </w:tabs>
        <w:autoSpaceDE w:val="0"/>
        <w:autoSpaceDN w:val="0"/>
        <w:adjustRightInd w:val="0"/>
        <w:rPr>
          <w:rFonts w:cs="AdvAgfaRS"/>
        </w:rPr>
      </w:pPr>
    </w:p>
    <w:p w14:paraId="6AF5CA9A" w14:textId="77777777" w:rsidR="00EC5BBC" w:rsidRPr="00EC5BBC" w:rsidRDefault="00EC5BBC" w:rsidP="00EC5BBC">
      <w:pPr>
        <w:pStyle w:val="ListParagraph"/>
        <w:numPr>
          <w:ilvl w:val="0"/>
          <w:numId w:val="22"/>
        </w:numPr>
        <w:tabs>
          <w:tab w:val="left" w:pos="5415"/>
        </w:tabs>
        <w:autoSpaceDE w:val="0"/>
        <w:autoSpaceDN w:val="0"/>
        <w:adjustRightInd w:val="0"/>
        <w:rPr>
          <w:rFonts w:cs="AdvAgfaRS"/>
          <w:b/>
        </w:rPr>
      </w:pPr>
      <w:r w:rsidRPr="00EC5BBC">
        <w:rPr>
          <w:rFonts w:cs="AdvAgfaRS"/>
          <w:b/>
        </w:rPr>
        <w:t>Management</w:t>
      </w:r>
    </w:p>
    <w:p w14:paraId="726A6643" w14:textId="77777777" w:rsidR="00EC5BBC" w:rsidRDefault="00EC5BBC" w:rsidP="00EC5BBC">
      <w:pPr>
        <w:tabs>
          <w:tab w:val="left" w:pos="5415"/>
        </w:tabs>
        <w:autoSpaceDE w:val="0"/>
        <w:autoSpaceDN w:val="0"/>
        <w:adjustRightInd w:val="0"/>
        <w:rPr>
          <w:rFonts w:cs="AdvAgfaRS"/>
          <w:u w:val="single"/>
        </w:rPr>
      </w:pPr>
    </w:p>
    <w:p w14:paraId="76E1FCF7" w14:textId="77777777" w:rsidR="00EC5BBC" w:rsidRPr="00441C3A" w:rsidRDefault="00EC5BBC" w:rsidP="00EC5BBC">
      <w:pPr>
        <w:pStyle w:val="ListParagraph"/>
        <w:numPr>
          <w:ilvl w:val="0"/>
          <w:numId w:val="20"/>
        </w:numPr>
        <w:tabs>
          <w:tab w:val="left" w:pos="5415"/>
        </w:tabs>
        <w:autoSpaceDE w:val="0"/>
        <w:autoSpaceDN w:val="0"/>
        <w:adjustRightInd w:val="0"/>
        <w:contextualSpacing/>
        <w:rPr>
          <w:rFonts w:cs="AdvAgfaRS"/>
          <w:u w:val="single"/>
        </w:rPr>
      </w:pPr>
      <w:r>
        <w:rPr>
          <w:rFonts w:cs="AdvAgfaRS"/>
        </w:rPr>
        <w:t>Nut avoidance advice</w:t>
      </w:r>
    </w:p>
    <w:p w14:paraId="56B28DD5" w14:textId="77777777" w:rsidR="00EC5BBC" w:rsidRPr="00370038" w:rsidRDefault="00EC5BBC" w:rsidP="00EC5BBC">
      <w:pPr>
        <w:pStyle w:val="ListParagraph"/>
        <w:numPr>
          <w:ilvl w:val="0"/>
          <w:numId w:val="20"/>
        </w:numPr>
        <w:tabs>
          <w:tab w:val="left" w:pos="5415"/>
        </w:tabs>
        <w:autoSpaceDE w:val="0"/>
        <w:autoSpaceDN w:val="0"/>
        <w:adjustRightInd w:val="0"/>
        <w:contextualSpacing/>
        <w:rPr>
          <w:rFonts w:cs="AdvAgfaRS"/>
          <w:u w:val="single"/>
        </w:rPr>
      </w:pPr>
      <w:r>
        <w:rPr>
          <w:rFonts w:cs="AdvAgfaRS"/>
        </w:rPr>
        <w:t>Children can continue to eat nuts to which they are not allergic to at home but should avoid all nuts in restaurants due to risk of cross contamination</w:t>
      </w:r>
    </w:p>
    <w:p w14:paraId="1AF81932" w14:textId="77777777" w:rsidR="00EC5BBC" w:rsidRPr="00370038" w:rsidRDefault="00EC5BBC" w:rsidP="00EC5BBC">
      <w:pPr>
        <w:pStyle w:val="ListParagraph"/>
        <w:numPr>
          <w:ilvl w:val="0"/>
          <w:numId w:val="20"/>
        </w:numPr>
        <w:tabs>
          <w:tab w:val="left" w:pos="5415"/>
        </w:tabs>
        <w:autoSpaceDE w:val="0"/>
        <w:autoSpaceDN w:val="0"/>
        <w:adjustRightInd w:val="0"/>
        <w:contextualSpacing/>
        <w:rPr>
          <w:rFonts w:cs="AdvAgfaRS"/>
          <w:u w:val="single"/>
        </w:rPr>
      </w:pPr>
      <w:r>
        <w:rPr>
          <w:rFonts w:cs="AdvAgfaRS"/>
        </w:rPr>
        <w:t xml:space="preserve">Patients with a </w:t>
      </w:r>
      <w:r w:rsidRPr="00370038">
        <w:rPr>
          <w:rFonts w:cs="AdvAgfaRS"/>
        </w:rPr>
        <w:t>history of very severe past reactions,</w:t>
      </w:r>
      <w:r>
        <w:rPr>
          <w:rFonts w:cs="AdvAgfaRS"/>
        </w:rPr>
        <w:t xml:space="preserve"> </w:t>
      </w:r>
      <w:r w:rsidRPr="00370038">
        <w:rPr>
          <w:rFonts w:cs="AdvAgfaRS"/>
        </w:rPr>
        <w:t>un</w:t>
      </w:r>
      <w:r>
        <w:rPr>
          <w:rFonts w:cs="AdvAgfaRS"/>
        </w:rPr>
        <w:t xml:space="preserve">controlled asthma or a very low </w:t>
      </w:r>
      <w:r w:rsidRPr="00370038">
        <w:rPr>
          <w:rFonts w:cs="AdvAgfaRS"/>
        </w:rPr>
        <w:t>threshold for</w:t>
      </w:r>
      <w:r>
        <w:rPr>
          <w:rFonts w:cs="AdvAgfaRS"/>
        </w:rPr>
        <w:t xml:space="preserve"> </w:t>
      </w:r>
      <w:r w:rsidRPr="00370038">
        <w:rPr>
          <w:rFonts w:cs="AdvAgfaRS"/>
        </w:rPr>
        <w:t xml:space="preserve">reactivity </w:t>
      </w:r>
      <w:r>
        <w:rPr>
          <w:rFonts w:cs="AdvAgfaRS"/>
        </w:rPr>
        <w:t>should be advised to avoid PAL (precautionary allergen labelling) as well</w:t>
      </w:r>
    </w:p>
    <w:p w14:paraId="3AEB4D75" w14:textId="77777777" w:rsidR="00EC5BBC" w:rsidRPr="00D70396" w:rsidRDefault="00EC5BBC" w:rsidP="00D70396">
      <w:pPr>
        <w:pStyle w:val="ListParagraph"/>
        <w:numPr>
          <w:ilvl w:val="0"/>
          <w:numId w:val="20"/>
        </w:numPr>
        <w:tabs>
          <w:tab w:val="left" w:pos="5415"/>
        </w:tabs>
        <w:autoSpaceDE w:val="0"/>
        <w:autoSpaceDN w:val="0"/>
        <w:adjustRightInd w:val="0"/>
        <w:contextualSpacing/>
        <w:rPr>
          <w:rFonts w:cs="AdvAgfaRS"/>
          <w:b/>
          <w:u w:val="single"/>
        </w:rPr>
      </w:pPr>
      <w:r>
        <w:rPr>
          <w:rFonts w:cs="AdvAgfaRS"/>
        </w:rPr>
        <w:t>Provide a management plan for school / home / nursery – use BSACI allergy action plan</w:t>
      </w:r>
      <w:r w:rsidR="00D70396">
        <w:rPr>
          <w:rFonts w:cs="AdvAgfaRS"/>
        </w:rPr>
        <w:t xml:space="preserve">, available at </w:t>
      </w:r>
      <w:hyperlink r:id="rId11" w:history="1">
        <w:r w:rsidR="00D70396" w:rsidRPr="00997776">
          <w:rPr>
            <w:rStyle w:val="Hyperlink"/>
            <w:rFonts w:cs="AdvAgfaRS"/>
          </w:rPr>
          <w:t>https://www.bsaci.org/about/download-paediatric-allergy-action-plans</w:t>
        </w:r>
      </w:hyperlink>
    </w:p>
    <w:p w14:paraId="7007677B" w14:textId="77777777" w:rsidR="00D70396" w:rsidRPr="00D70396" w:rsidRDefault="00EC5BBC" w:rsidP="00D70396">
      <w:pPr>
        <w:pStyle w:val="ListParagraph"/>
        <w:numPr>
          <w:ilvl w:val="0"/>
          <w:numId w:val="20"/>
        </w:numPr>
        <w:tabs>
          <w:tab w:val="left" w:pos="5415"/>
        </w:tabs>
        <w:autoSpaceDE w:val="0"/>
        <w:autoSpaceDN w:val="0"/>
        <w:adjustRightInd w:val="0"/>
        <w:contextualSpacing/>
        <w:rPr>
          <w:rFonts w:cs="AdvAgfaRS"/>
          <w:b/>
          <w:u w:val="single"/>
        </w:rPr>
      </w:pPr>
      <w:r w:rsidRPr="00D70396">
        <w:rPr>
          <w:rFonts w:cs="AdvAgfaRS"/>
        </w:rPr>
        <w:t>All patients sh</w:t>
      </w:r>
      <w:r w:rsidR="00D70396">
        <w:rPr>
          <w:rFonts w:cs="AdvAgfaRS"/>
        </w:rPr>
        <w:t xml:space="preserve">ould be prescribed an antihistamine </w:t>
      </w:r>
      <w:r w:rsidRPr="00D70396">
        <w:rPr>
          <w:rFonts w:cs="AdvAgfaRS"/>
        </w:rPr>
        <w:t>for mild to moderate reactions.</w:t>
      </w:r>
      <w:r w:rsidR="00D70396">
        <w:rPr>
          <w:rFonts w:cs="AdvAgfaRS"/>
        </w:rPr>
        <w:t xml:space="preserve">     </w:t>
      </w:r>
      <w:proofErr w:type="spellStart"/>
      <w:r w:rsidR="0019109A">
        <w:rPr>
          <w:rFonts w:cs="AdvAgfaRS"/>
        </w:rPr>
        <w:t>Chorphenamine</w:t>
      </w:r>
      <w:proofErr w:type="spellEnd"/>
      <w:r w:rsidR="00D70396">
        <w:rPr>
          <w:rFonts w:cs="AdvAgfaRS"/>
        </w:rPr>
        <w:t xml:space="preserve"> &lt; 2 years or Cetirizine &gt; 2 years</w:t>
      </w:r>
    </w:p>
    <w:p w14:paraId="6719BBB0" w14:textId="77777777" w:rsidR="00EC5BBC" w:rsidRPr="00D70396" w:rsidRDefault="00EC5BBC" w:rsidP="00EC5BBC">
      <w:pPr>
        <w:pStyle w:val="ListParagraph"/>
        <w:numPr>
          <w:ilvl w:val="0"/>
          <w:numId w:val="20"/>
        </w:numPr>
        <w:tabs>
          <w:tab w:val="left" w:pos="5415"/>
        </w:tabs>
        <w:autoSpaceDE w:val="0"/>
        <w:autoSpaceDN w:val="0"/>
        <w:adjustRightInd w:val="0"/>
        <w:contextualSpacing/>
        <w:rPr>
          <w:rFonts w:cs="AdvAgfaRS"/>
          <w:u w:val="single"/>
        </w:rPr>
      </w:pPr>
      <w:r>
        <w:rPr>
          <w:rFonts w:cs="AdvAgfaRS"/>
        </w:rPr>
        <w:t>Those with previous severe reaction / asthma / reactions to trace amounts should be prescribed adrenaline – n</w:t>
      </w:r>
      <w:r w:rsidR="00D70396">
        <w:rPr>
          <w:rFonts w:cs="AdvAgfaRS"/>
        </w:rPr>
        <w:t>eed to be trained in use of this</w:t>
      </w:r>
    </w:p>
    <w:p w14:paraId="61423F41" w14:textId="77777777" w:rsidR="00D70396" w:rsidRPr="00441C3A" w:rsidRDefault="00D70396" w:rsidP="00D70396">
      <w:pPr>
        <w:pStyle w:val="ListParagraph"/>
        <w:tabs>
          <w:tab w:val="left" w:pos="5415"/>
        </w:tabs>
        <w:autoSpaceDE w:val="0"/>
        <w:autoSpaceDN w:val="0"/>
        <w:adjustRightInd w:val="0"/>
        <w:contextualSpacing/>
        <w:rPr>
          <w:rFonts w:cs="AdvAgfaRS"/>
          <w:u w:val="single"/>
        </w:rPr>
      </w:pPr>
    </w:p>
    <w:p w14:paraId="4581852B" w14:textId="77777777" w:rsidR="00EC5BBC" w:rsidRDefault="00EC5BBC" w:rsidP="00EC5BBC">
      <w:pPr>
        <w:tabs>
          <w:tab w:val="left" w:pos="5415"/>
        </w:tabs>
        <w:autoSpaceDE w:val="0"/>
        <w:autoSpaceDN w:val="0"/>
        <w:adjustRightInd w:val="0"/>
        <w:rPr>
          <w:rFonts w:cs="AdvAgfaRS"/>
          <w:u w:val="single"/>
        </w:rPr>
      </w:pPr>
    </w:p>
    <w:p w14:paraId="14DE9352" w14:textId="77777777" w:rsidR="00EC5BBC" w:rsidRPr="00D70396" w:rsidRDefault="00EC5BBC" w:rsidP="00D70396">
      <w:pPr>
        <w:pStyle w:val="ListParagraph"/>
        <w:numPr>
          <w:ilvl w:val="0"/>
          <w:numId w:val="22"/>
        </w:numPr>
        <w:tabs>
          <w:tab w:val="left" w:pos="5415"/>
        </w:tabs>
        <w:autoSpaceDE w:val="0"/>
        <w:autoSpaceDN w:val="0"/>
        <w:adjustRightInd w:val="0"/>
        <w:rPr>
          <w:rFonts w:cs="AdvAgfaRS"/>
          <w:b/>
        </w:rPr>
      </w:pPr>
      <w:r w:rsidRPr="00D70396">
        <w:rPr>
          <w:rFonts w:cs="AdvAgfaRS"/>
          <w:b/>
        </w:rPr>
        <w:t>Follow Up</w:t>
      </w:r>
    </w:p>
    <w:p w14:paraId="39C67C51" w14:textId="77777777" w:rsidR="00EC5BBC" w:rsidRDefault="00EC5BBC" w:rsidP="00EC5BBC">
      <w:pPr>
        <w:tabs>
          <w:tab w:val="left" w:pos="5415"/>
        </w:tabs>
        <w:autoSpaceDE w:val="0"/>
        <w:autoSpaceDN w:val="0"/>
        <w:adjustRightInd w:val="0"/>
        <w:rPr>
          <w:rFonts w:cs="AdvAgfaRS"/>
        </w:rPr>
      </w:pPr>
      <w:r>
        <w:rPr>
          <w:rFonts w:cs="AdvAgfaRS"/>
        </w:rPr>
        <w:t xml:space="preserve"> </w:t>
      </w:r>
    </w:p>
    <w:p w14:paraId="0E9C0CDD" w14:textId="77777777" w:rsidR="00EC5BBC" w:rsidRDefault="00EC5BBC" w:rsidP="00EC5BBC">
      <w:pPr>
        <w:pStyle w:val="ListParagraph"/>
        <w:numPr>
          <w:ilvl w:val="0"/>
          <w:numId w:val="21"/>
        </w:numPr>
        <w:tabs>
          <w:tab w:val="left" w:pos="5415"/>
        </w:tabs>
        <w:autoSpaceDE w:val="0"/>
        <w:autoSpaceDN w:val="0"/>
        <w:adjustRightInd w:val="0"/>
        <w:contextualSpacing/>
        <w:rPr>
          <w:rFonts w:cs="AdvAgfaRS"/>
        </w:rPr>
      </w:pPr>
      <w:r>
        <w:rPr>
          <w:rFonts w:cs="AdvAgfaRS"/>
        </w:rPr>
        <w:t xml:space="preserve">2 yearly until age 6, then 3 </w:t>
      </w:r>
      <w:proofErr w:type="gramStart"/>
      <w:r>
        <w:rPr>
          <w:rFonts w:cs="AdvAgfaRS"/>
        </w:rPr>
        <w:t>yearly</w:t>
      </w:r>
      <w:proofErr w:type="gramEnd"/>
    </w:p>
    <w:p w14:paraId="13A6412C" w14:textId="77777777" w:rsidR="00EC5BBC" w:rsidRPr="00441C3A" w:rsidRDefault="00EC5BBC" w:rsidP="00EC5BBC">
      <w:pPr>
        <w:pStyle w:val="ListParagraph"/>
        <w:numPr>
          <w:ilvl w:val="0"/>
          <w:numId w:val="21"/>
        </w:numPr>
        <w:tabs>
          <w:tab w:val="left" w:pos="5415"/>
        </w:tabs>
        <w:autoSpaceDE w:val="0"/>
        <w:autoSpaceDN w:val="0"/>
        <w:adjustRightInd w:val="0"/>
        <w:contextualSpacing/>
        <w:rPr>
          <w:rFonts w:cs="AdvAgfaRS"/>
        </w:rPr>
      </w:pPr>
      <w:r w:rsidRPr="00441C3A">
        <w:rPr>
          <w:rFonts w:cs="AdvAgfaRS"/>
        </w:rPr>
        <w:t>Take his</w:t>
      </w:r>
      <w:r>
        <w:rPr>
          <w:rFonts w:cs="AdvAgfaRS"/>
        </w:rPr>
        <w:t>tory of reactions due to accidental</w:t>
      </w:r>
      <w:r w:rsidRPr="00441C3A">
        <w:rPr>
          <w:rFonts w:cs="AdvAgfaRS"/>
        </w:rPr>
        <w:t xml:space="preserve"> exposure to nut and</w:t>
      </w:r>
      <w:r>
        <w:rPr>
          <w:rFonts w:cs="AdvAgfaRS"/>
        </w:rPr>
        <w:t xml:space="preserve"> </w:t>
      </w:r>
      <w:r w:rsidRPr="00441C3A">
        <w:rPr>
          <w:rFonts w:cs="AdvAgfaRS"/>
        </w:rPr>
        <w:t>identification of new allergies</w:t>
      </w:r>
    </w:p>
    <w:p w14:paraId="6C1EE204" w14:textId="77777777" w:rsidR="00EC5BBC" w:rsidRPr="00441C3A" w:rsidRDefault="00EC5BBC" w:rsidP="00EC5BBC">
      <w:pPr>
        <w:pStyle w:val="ListParagraph"/>
        <w:numPr>
          <w:ilvl w:val="0"/>
          <w:numId w:val="21"/>
        </w:numPr>
        <w:tabs>
          <w:tab w:val="left" w:pos="5415"/>
        </w:tabs>
        <w:autoSpaceDE w:val="0"/>
        <w:autoSpaceDN w:val="0"/>
        <w:adjustRightInd w:val="0"/>
        <w:contextualSpacing/>
        <w:rPr>
          <w:rFonts w:cs="AdvAgfaRS"/>
        </w:rPr>
      </w:pPr>
      <w:r w:rsidRPr="00441C3A">
        <w:rPr>
          <w:rFonts w:cs="AdvAgfaRS"/>
        </w:rPr>
        <w:t>On</w:t>
      </w:r>
      <w:r w:rsidR="00D70396">
        <w:rPr>
          <w:rFonts w:cs="AdvAgfaRS"/>
        </w:rPr>
        <w:t>-</w:t>
      </w:r>
      <w:r w:rsidRPr="00441C3A">
        <w:rPr>
          <w:rFonts w:cs="AdvAgfaRS"/>
        </w:rPr>
        <w:t>going education on nut avoidance measures</w:t>
      </w:r>
    </w:p>
    <w:p w14:paraId="77D193A8" w14:textId="77777777" w:rsidR="00EC5BBC" w:rsidRPr="00441C3A" w:rsidRDefault="00EC5BBC" w:rsidP="00EC5BBC">
      <w:pPr>
        <w:pStyle w:val="ListParagraph"/>
        <w:numPr>
          <w:ilvl w:val="0"/>
          <w:numId w:val="21"/>
        </w:numPr>
        <w:tabs>
          <w:tab w:val="left" w:pos="5415"/>
        </w:tabs>
        <w:autoSpaceDE w:val="0"/>
        <w:autoSpaceDN w:val="0"/>
        <w:adjustRightInd w:val="0"/>
        <w:contextualSpacing/>
        <w:rPr>
          <w:rFonts w:cs="AdvAgfaRS"/>
        </w:rPr>
      </w:pPr>
      <w:r w:rsidRPr="00441C3A">
        <w:rPr>
          <w:rFonts w:cs="AdvAgfaRS"/>
        </w:rPr>
        <w:t>Periodic measurement of nut SPT +/-</w:t>
      </w:r>
      <w:r>
        <w:rPr>
          <w:rFonts w:cs="AdvAgfaRS"/>
        </w:rPr>
        <w:t xml:space="preserve"> s</w:t>
      </w:r>
      <w:r w:rsidR="00EE3DCE">
        <w:rPr>
          <w:rFonts w:cs="AdvAgfaRS"/>
        </w:rPr>
        <w:t xml:space="preserve">erum </w:t>
      </w:r>
      <w:proofErr w:type="spellStart"/>
      <w:r>
        <w:rPr>
          <w:rFonts w:cs="AdvAgfaRS"/>
        </w:rPr>
        <w:t>IgE</w:t>
      </w:r>
      <w:proofErr w:type="spellEnd"/>
      <w:r>
        <w:rPr>
          <w:rFonts w:cs="AdvAgfaRS"/>
        </w:rPr>
        <w:t xml:space="preserve"> to look for resolution</w:t>
      </w:r>
    </w:p>
    <w:p w14:paraId="3E1A9CED" w14:textId="77777777" w:rsidR="00EC5BBC" w:rsidRDefault="00EC5BBC" w:rsidP="00EC5BBC">
      <w:pPr>
        <w:pStyle w:val="ListParagraph"/>
        <w:numPr>
          <w:ilvl w:val="0"/>
          <w:numId w:val="21"/>
        </w:numPr>
        <w:tabs>
          <w:tab w:val="left" w:pos="5415"/>
        </w:tabs>
        <w:autoSpaceDE w:val="0"/>
        <w:autoSpaceDN w:val="0"/>
        <w:adjustRightInd w:val="0"/>
        <w:contextualSpacing/>
        <w:rPr>
          <w:rFonts w:cs="AdvAgfaRS"/>
        </w:rPr>
      </w:pPr>
      <w:r w:rsidRPr="00441C3A">
        <w:rPr>
          <w:rFonts w:cs="AdvAgfaRS"/>
        </w:rPr>
        <w:t>Management of co-morbiditi</w:t>
      </w:r>
      <w:r w:rsidR="00EE3DCE">
        <w:rPr>
          <w:rFonts w:cs="AdvAgfaRS"/>
        </w:rPr>
        <w:t>es, especially asthma</w:t>
      </w:r>
      <w:r w:rsidRPr="00441C3A">
        <w:rPr>
          <w:rFonts w:cs="AdvAgfaRS"/>
        </w:rPr>
        <w:t xml:space="preserve">, </w:t>
      </w:r>
      <w:proofErr w:type="gramStart"/>
      <w:r w:rsidRPr="00441C3A">
        <w:rPr>
          <w:rFonts w:cs="AdvAgfaRS"/>
        </w:rPr>
        <w:t>rhinitis</w:t>
      </w:r>
      <w:proofErr w:type="gramEnd"/>
      <w:r w:rsidRPr="00441C3A">
        <w:rPr>
          <w:rFonts w:cs="AdvAgfaRS"/>
        </w:rPr>
        <w:t xml:space="preserve"> and eczema</w:t>
      </w:r>
    </w:p>
    <w:p w14:paraId="1E03048B" w14:textId="77777777" w:rsidR="00684BA8" w:rsidRDefault="00684BA8" w:rsidP="00684BA8">
      <w:pPr>
        <w:tabs>
          <w:tab w:val="left" w:pos="5415"/>
        </w:tabs>
        <w:autoSpaceDE w:val="0"/>
        <w:autoSpaceDN w:val="0"/>
        <w:adjustRightInd w:val="0"/>
        <w:ind w:left="360"/>
        <w:contextualSpacing/>
        <w:rPr>
          <w:rFonts w:cs="AdvAgfaRS"/>
        </w:rPr>
      </w:pPr>
    </w:p>
    <w:p w14:paraId="74D2172B" w14:textId="77777777" w:rsidR="00684BA8" w:rsidRDefault="00684BA8" w:rsidP="00684BA8">
      <w:pPr>
        <w:tabs>
          <w:tab w:val="left" w:pos="5415"/>
        </w:tabs>
        <w:autoSpaceDE w:val="0"/>
        <w:autoSpaceDN w:val="0"/>
        <w:adjustRightInd w:val="0"/>
        <w:ind w:left="360"/>
        <w:contextualSpacing/>
        <w:rPr>
          <w:rFonts w:cs="AdvAgfaRS"/>
        </w:rPr>
      </w:pPr>
    </w:p>
    <w:p w14:paraId="3ACFC22F" w14:textId="77777777" w:rsidR="00684BA8" w:rsidRDefault="00684BA8" w:rsidP="00684BA8">
      <w:pPr>
        <w:pStyle w:val="ListParagraph"/>
        <w:numPr>
          <w:ilvl w:val="0"/>
          <w:numId w:val="22"/>
        </w:numPr>
        <w:tabs>
          <w:tab w:val="left" w:pos="5415"/>
        </w:tabs>
        <w:autoSpaceDE w:val="0"/>
        <w:autoSpaceDN w:val="0"/>
        <w:adjustRightInd w:val="0"/>
        <w:contextualSpacing/>
        <w:rPr>
          <w:rFonts w:cs="AdvAgfaRS"/>
          <w:b/>
        </w:rPr>
      </w:pPr>
      <w:r>
        <w:rPr>
          <w:rFonts w:cs="AdvAgfaRS"/>
          <w:b/>
        </w:rPr>
        <w:t xml:space="preserve">Who needs a food </w:t>
      </w:r>
      <w:proofErr w:type="gramStart"/>
      <w:r>
        <w:rPr>
          <w:rFonts w:cs="AdvAgfaRS"/>
          <w:b/>
        </w:rPr>
        <w:t>challenge</w:t>
      </w:r>
      <w:proofErr w:type="gramEnd"/>
    </w:p>
    <w:p w14:paraId="4F595EC3" w14:textId="77777777" w:rsidR="00684BA8" w:rsidRDefault="00684BA8" w:rsidP="00684BA8">
      <w:pPr>
        <w:pStyle w:val="ListParagraph"/>
        <w:tabs>
          <w:tab w:val="left" w:pos="5415"/>
        </w:tabs>
        <w:autoSpaceDE w:val="0"/>
        <w:autoSpaceDN w:val="0"/>
        <w:adjustRightInd w:val="0"/>
        <w:contextualSpacing/>
        <w:rPr>
          <w:rFonts w:cs="AdvAgfaRS"/>
        </w:rPr>
      </w:pPr>
    </w:p>
    <w:p w14:paraId="329548F0" w14:textId="77777777" w:rsidR="00684BA8" w:rsidRDefault="00684BA8" w:rsidP="00684BA8">
      <w:pPr>
        <w:pStyle w:val="ListParagraph"/>
        <w:numPr>
          <w:ilvl w:val="0"/>
          <w:numId w:val="24"/>
        </w:numPr>
        <w:tabs>
          <w:tab w:val="left" w:pos="5415"/>
        </w:tabs>
        <w:autoSpaceDE w:val="0"/>
        <w:autoSpaceDN w:val="0"/>
        <w:adjustRightInd w:val="0"/>
        <w:contextualSpacing/>
        <w:rPr>
          <w:rFonts w:cs="AdvAgfaRS"/>
        </w:rPr>
      </w:pPr>
      <w:r>
        <w:rPr>
          <w:rFonts w:cs="AdvAgfaRS"/>
        </w:rPr>
        <w:t>Positive history &amp; negative tests - &gt; 80% will have a negative test therefore if symptoms mild (no airway, respiratory or cardiovascular compromise) can consider home introduction in this group</w:t>
      </w:r>
    </w:p>
    <w:p w14:paraId="241C00D2" w14:textId="77777777" w:rsidR="00684BA8" w:rsidRDefault="00684BA8" w:rsidP="00684BA8">
      <w:pPr>
        <w:pStyle w:val="ListParagraph"/>
        <w:numPr>
          <w:ilvl w:val="0"/>
          <w:numId w:val="24"/>
        </w:numPr>
        <w:tabs>
          <w:tab w:val="left" w:pos="5415"/>
        </w:tabs>
        <w:autoSpaceDE w:val="0"/>
        <w:autoSpaceDN w:val="0"/>
        <w:adjustRightInd w:val="0"/>
        <w:contextualSpacing/>
        <w:rPr>
          <w:rFonts w:cs="AdvAgfaRS"/>
        </w:rPr>
      </w:pPr>
      <w:r>
        <w:rPr>
          <w:rFonts w:cs="AdvAgfaRS"/>
        </w:rPr>
        <w:t>Potential tolerance – those with previous definite nut allergy who on review have negative or significantly reduced allergy tests</w:t>
      </w:r>
    </w:p>
    <w:p w14:paraId="615845C3" w14:textId="77777777" w:rsidR="00684BA8" w:rsidRDefault="00684BA8" w:rsidP="00684BA8">
      <w:pPr>
        <w:pStyle w:val="ListParagraph"/>
        <w:numPr>
          <w:ilvl w:val="0"/>
          <w:numId w:val="24"/>
        </w:numPr>
        <w:tabs>
          <w:tab w:val="left" w:pos="5415"/>
        </w:tabs>
        <w:autoSpaceDE w:val="0"/>
        <w:autoSpaceDN w:val="0"/>
        <w:adjustRightInd w:val="0"/>
        <w:contextualSpacing/>
        <w:rPr>
          <w:rFonts w:cs="AdvAgfaRS"/>
        </w:rPr>
      </w:pPr>
      <w:r>
        <w:rPr>
          <w:rFonts w:cs="AdvAgfaRS"/>
        </w:rPr>
        <w:t>Positive allergy tests in a child who has not previously eaten nuts</w:t>
      </w:r>
    </w:p>
    <w:p w14:paraId="12794301" w14:textId="77777777" w:rsidR="000C1D29" w:rsidRDefault="000C1D29" w:rsidP="000C1D29">
      <w:pPr>
        <w:pStyle w:val="ListParagraph"/>
        <w:numPr>
          <w:ilvl w:val="1"/>
          <w:numId w:val="24"/>
        </w:numPr>
        <w:tabs>
          <w:tab w:val="left" w:pos="5415"/>
        </w:tabs>
        <w:autoSpaceDE w:val="0"/>
        <w:autoSpaceDN w:val="0"/>
        <w:adjustRightInd w:val="0"/>
        <w:contextualSpacing/>
        <w:rPr>
          <w:rFonts w:cs="AdvAgfaRS"/>
        </w:rPr>
      </w:pPr>
      <w:r>
        <w:rPr>
          <w:rFonts w:cs="AdvAgfaRS"/>
        </w:rPr>
        <w:t>In a child &gt; 2 years with SPT &lt; 8mm or s</w:t>
      </w:r>
      <w:r w:rsidR="004C2512">
        <w:rPr>
          <w:rFonts w:cs="AdvAgfaRS"/>
        </w:rPr>
        <w:t xml:space="preserve">erum </w:t>
      </w:r>
      <w:proofErr w:type="spellStart"/>
      <w:r>
        <w:rPr>
          <w:rFonts w:cs="AdvAgfaRS"/>
        </w:rPr>
        <w:t>IgE</w:t>
      </w:r>
      <w:proofErr w:type="spellEnd"/>
      <w:r>
        <w:rPr>
          <w:rFonts w:cs="AdvAgfaRS"/>
        </w:rPr>
        <w:t xml:space="preserve"> &lt; 15kU/L who has never actually eaten nuts, a diagnosis cannot be made on allergy tests alone.  About 50% of these children will show no symptoms on challenge and therefore a challenge prior to star</w:t>
      </w:r>
      <w:r w:rsidR="0019109A">
        <w:rPr>
          <w:rFonts w:cs="AdvAgfaRS"/>
        </w:rPr>
        <w:t>t</w:t>
      </w:r>
      <w:r>
        <w:rPr>
          <w:rFonts w:cs="AdvAgfaRS"/>
        </w:rPr>
        <w:t>ing school is recommended</w:t>
      </w:r>
    </w:p>
    <w:p w14:paraId="510C25D3" w14:textId="77777777" w:rsidR="000C1D29" w:rsidRPr="00684BA8" w:rsidRDefault="000C1D29" w:rsidP="000C1D29">
      <w:pPr>
        <w:pStyle w:val="ListParagraph"/>
        <w:numPr>
          <w:ilvl w:val="1"/>
          <w:numId w:val="24"/>
        </w:numPr>
        <w:tabs>
          <w:tab w:val="left" w:pos="5415"/>
        </w:tabs>
        <w:autoSpaceDE w:val="0"/>
        <w:autoSpaceDN w:val="0"/>
        <w:adjustRightInd w:val="0"/>
        <w:contextualSpacing/>
        <w:rPr>
          <w:rFonts w:cs="AdvAgfaRS"/>
        </w:rPr>
      </w:pPr>
      <w:r>
        <w:rPr>
          <w:rFonts w:cs="AdvAgfaRS"/>
        </w:rPr>
        <w:t>In a baby &lt; 1 year old with eczema and/or egg allergy and SPT&lt;6mm to peanuts a challenge is recommended</w:t>
      </w:r>
      <w:r w:rsidR="004C2512">
        <w:rPr>
          <w:rFonts w:cs="AdvAgfaRS"/>
        </w:rPr>
        <w:t xml:space="preserve">.  If they pass the challenge continued regular peanut </w:t>
      </w:r>
      <w:r w:rsidR="004C2512">
        <w:rPr>
          <w:rFonts w:cs="AdvAgfaRS"/>
        </w:rPr>
        <w:lastRenderedPageBreak/>
        <w:t xml:space="preserve">ingestion </w:t>
      </w:r>
      <w:r w:rsidR="00D541FF">
        <w:rPr>
          <w:rFonts w:cs="AdvAgfaRS"/>
        </w:rPr>
        <w:t>may prevent the development of peanut allergy</w:t>
      </w:r>
      <w:r w:rsidR="003A05B8">
        <w:rPr>
          <w:rFonts w:cs="AdvAgfaRS"/>
        </w:rPr>
        <w:t xml:space="preserve"> (at least 3 times a week until 3 years old)</w:t>
      </w:r>
    </w:p>
    <w:p w14:paraId="5A13ECC9" w14:textId="77777777" w:rsidR="00684BA8" w:rsidRDefault="00684BA8" w:rsidP="00684BA8">
      <w:pPr>
        <w:tabs>
          <w:tab w:val="left" w:pos="5415"/>
        </w:tabs>
        <w:autoSpaceDE w:val="0"/>
        <w:autoSpaceDN w:val="0"/>
        <w:adjustRightInd w:val="0"/>
        <w:ind w:left="360"/>
        <w:contextualSpacing/>
        <w:rPr>
          <w:rFonts w:cs="AdvAgfaRS"/>
        </w:rPr>
      </w:pPr>
    </w:p>
    <w:p w14:paraId="496FD2C1" w14:textId="77777777" w:rsidR="00684BA8" w:rsidRDefault="00684BA8" w:rsidP="00684BA8">
      <w:pPr>
        <w:tabs>
          <w:tab w:val="left" w:pos="5415"/>
        </w:tabs>
        <w:autoSpaceDE w:val="0"/>
        <w:autoSpaceDN w:val="0"/>
        <w:adjustRightInd w:val="0"/>
        <w:ind w:left="360"/>
        <w:contextualSpacing/>
        <w:rPr>
          <w:rFonts w:cs="AdvAgfaRS"/>
        </w:rPr>
      </w:pPr>
    </w:p>
    <w:p w14:paraId="61F519FE" w14:textId="77777777" w:rsidR="00684BA8" w:rsidRPr="00684BA8" w:rsidRDefault="00684BA8" w:rsidP="00684BA8">
      <w:pPr>
        <w:tabs>
          <w:tab w:val="left" w:pos="5415"/>
        </w:tabs>
        <w:autoSpaceDE w:val="0"/>
        <w:autoSpaceDN w:val="0"/>
        <w:adjustRightInd w:val="0"/>
        <w:contextualSpacing/>
        <w:rPr>
          <w:rFonts w:cs="AdvAgfaRS"/>
        </w:rPr>
      </w:pPr>
    </w:p>
    <w:p w14:paraId="12F303FC" w14:textId="77777777" w:rsidR="00EC5BBC" w:rsidRPr="00133B7B" w:rsidRDefault="00EC5BBC" w:rsidP="00EC5BBC">
      <w:pPr>
        <w:tabs>
          <w:tab w:val="left" w:pos="5415"/>
        </w:tabs>
        <w:autoSpaceDE w:val="0"/>
        <w:autoSpaceDN w:val="0"/>
        <w:adjustRightInd w:val="0"/>
        <w:rPr>
          <w:rFonts w:cs="AdvAgfaRS"/>
          <w:u w:val="single"/>
        </w:rPr>
      </w:pPr>
    </w:p>
    <w:p w14:paraId="0FECA4CE" w14:textId="77777777" w:rsidR="00090998" w:rsidRPr="00EC5BBC" w:rsidRDefault="00090998" w:rsidP="00EC5BBC">
      <w:pPr>
        <w:rPr>
          <w:rFonts w:ascii="Arial Bold" w:hAnsi="Arial Bold"/>
          <w:caps/>
        </w:rPr>
      </w:pPr>
    </w:p>
    <w:p w14:paraId="047B268A" w14:textId="77777777" w:rsidR="001702D4" w:rsidRPr="001D51B3" w:rsidRDefault="00090998" w:rsidP="001D51B3">
      <w:pPr>
        <w:autoSpaceDE w:val="0"/>
        <w:autoSpaceDN w:val="0"/>
        <w:adjustRightInd w:val="0"/>
        <w:jc w:val="both"/>
        <w:rPr>
          <w:rFonts w:cs="Arial"/>
        </w:rPr>
      </w:pPr>
      <w:r>
        <w:rPr>
          <w:rFonts w:cs="Arial"/>
        </w:rPr>
        <w:tab/>
      </w:r>
    </w:p>
    <w:sectPr w:rsidR="001702D4" w:rsidRPr="001D51B3" w:rsidSect="007C4A0E">
      <w:headerReference w:type="even" r:id="rId12"/>
      <w:headerReference w:type="default" r:id="rId13"/>
      <w:footerReference w:type="even" r:id="rId14"/>
      <w:footerReference w:type="default" r:id="rId15"/>
      <w:headerReference w:type="first" r:id="rId16"/>
      <w:footerReference w:type="first" r:id="rId17"/>
      <w:pgSz w:w="11906" w:h="16838" w:code="9"/>
      <w:pgMar w:top="539" w:right="720" w:bottom="902" w:left="902"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8E64B" w14:textId="77777777" w:rsidR="002A11D4" w:rsidRDefault="002A11D4">
      <w:r>
        <w:separator/>
      </w:r>
    </w:p>
  </w:endnote>
  <w:endnote w:type="continuationSeparator" w:id="0">
    <w:p w14:paraId="78F0988C" w14:textId="77777777" w:rsidR="002A11D4" w:rsidRDefault="002A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altName w:val="Arial Narrow"/>
    <w:panose1 w:val="00000000000000000000"/>
    <w:charset w:val="00"/>
    <w:family w:val="swiss"/>
    <w:notTrueType/>
    <w:pitch w:val="variable"/>
    <w:sig w:usb0="00000003" w:usb1="00000000" w:usb2="00000000" w:usb3="00000000" w:csb0="00000001" w:csb1="00000000"/>
  </w:font>
  <w:font w:name="FJMBIA+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dvAgfaRS">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2D4A" w14:textId="77777777" w:rsidR="00F26368" w:rsidRDefault="00F26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DE8F" w14:textId="77777777" w:rsidR="00C16021" w:rsidRPr="009F0760" w:rsidRDefault="00C16021" w:rsidP="009F0760">
    <w:pPr>
      <w:pStyle w:val="Footer"/>
      <w:tabs>
        <w:tab w:val="clear" w:pos="4153"/>
        <w:tab w:val="clear" w:pos="8306"/>
        <w:tab w:val="center" w:pos="4860"/>
        <w:tab w:val="right" w:pos="8100"/>
        <w:tab w:val="left" w:pos="8940"/>
      </w:tabs>
      <w:rPr>
        <w:rFonts w:cs="Arial"/>
        <w:sz w:val="16"/>
        <w:szCs w:val="16"/>
      </w:rPr>
    </w:pPr>
    <w:r w:rsidRPr="00BB66F7">
      <w:rPr>
        <w:rFonts w:cs="Arial"/>
        <w:sz w:val="16"/>
        <w:szCs w:val="16"/>
      </w:rPr>
      <w:t>V</w:t>
    </w:r>
    <w:r>
      <w:rPr>
        <w:rFonts w:cs="Arial"/>
        <w:sz w:val="16"/>
        <w:szCs w:val="16"/>
      </w:rPr>
      <w:t>1.2</w:t>
    </w:r>
    <w:r w:rsidRPr="009F0760">
      <w:rPr>
        <w:rFonts w:cs="Arial"/>
        <w:sz w:val="16"/>
        <w:szCs w:val="16"/>
      </w:rPr>
      <w:tab/>
    </w:r>
    <w:r>
      <w:rPr>
        <w:rFonts w:cs="Arial"/>
        <w:sz w:val="16"/>
        <w:szCs w:val="16"/>
      </w:rPr>
      <w:t>February 2018</w:t>
    </w:r>
    <w:r w:rsidRPr="009F0760">
      <w:rPr>
        <w:rFonts w:cs="Arial"/>
        <w:sz w:val="16"/>
        <w:szCs w:val="16"/>
      </w:rPr>
      <w:tab/>
    </w:r>
    <w:r w:rsidRPr="009F0760">
      <w:rPr>
        <w:rFonts w:cs="Arial"/>
        <w:sz w:val="16"/>
        <w:szCs w:val="16"/>
      </w:rPr>
      <w:tab/>
      <w:t xml:space="preserve">Page </w:t>
    </w:r>
    <w:r w:rsidRPr="009F0760">
      <w:rPr>
        <w:rStyle w:val="PageNumber"/>
        <w:rFonts w:cs="Arial"/>
        <w:sz w:val="16"/>
        <w:szCs w:val="16"/>
      </w:rPr>
      <w:fldChar w:fldCharType="begin"/>
    </w:r>
    <w:r w:rsidRPr="009F0760">
      <w:rPr>
        <w:rStyle w:val="PageNumber"/>
        <w:rFonts w:cs="Arial"/>
        <w:sz w:val="16"/>
        <w:szCs w:val="16"/>
      </w:rPr>
      <w:instrText xml:space="preserve"> PAGE </w:instrText>
    </w:r>
    <w:r w:rsidRPr="009F0760">
      <w:rPr>
        <w:rStyle w:val="PageNumber"/>
        <w:rFonts w:cs="Arial"/>
        <w:sz w:val="16"/>
        <w:szCs w:val="16"/>
      </w:rPr>
      <w:fldChar w:fldCharType="separate"/>
    </w:r>
    <w:r w:rsidR="00AB5226">
      <w:rPr>
        <w:rStyle w:val="PageNumber"/>
        <w:rFonts w:cs="Arial"/>
        <w:noProof/>
        <w:sz w:val="16"/>
        <w:szCs w:val="16"/>
      </w:rPr>
      <w:t>1</w:t>
    </w:r>
    <w:r w:rsidRPr="009F0760">
      <w:rPr>
        <w:rStyle w:val="PageNumber"/>
        <w:rFonts w:cs="Arial"/>
        <w:sz w:val="16"/>
        <w:szCs w:val="16"/>
      </w:rPr>
      <w:fldChar w:fldCharType="end"/>
    </w:r>
    <w:r w:rsidRPr="009F0760">
      <w:rPr>
        <w:rStyle w:val="PageNumber"/>
        <w:rFonts w:cs="Arial"/>
        <w:sz w:val="16"/>
        <w:szCs w:val="16"/>
      </w:rPr>
      <w:t xml:space="preserve"> of </w:t>
    </w:r>
    <w:r w:rsidRPr="009F0760">
      <w:rPr>
        <w:rStyle w:val="PageNumber"/>
        <w:rFonts w:cs="Arial"/>
        <w:sz w:val="16"/>
        <w:szCs w:val="16"/>
      </w:rPr>
      <w:fldChar w:fldCharType="begin"/>
    </w:r>
    <w:r w:rsidRPr="009F0760">
      <w:rPr>
        <w:rStyle w:val="PageNumber"/>
        <w:rFonts w:cs="Arial"/>
        <w:sz w:val="16"/>
        <w:szCs w:val="16"/>
      </w:rPr>
      <w:instrText xml:space="preserve"> NUMPAGES </w:instrText>
    </w:r>
    <w:r w:rsidRPr="009F0760">
      <w:rPr>
        <w:rStyle w:val="PageNumber"/>
        <w:rFonts w:cs="Arial"/>
        <w:sz w:val="16"/>
        <w:szCs w:val="16"/>
      </w:rPr>
      <w:fldChar w:fldCharType="separate"/>
    </w:r>
    <w:r w:rsidR="00AB5226">
      <w:rPr>
        <w:rStyle w:val="PageNumber"/>
        <w:rFonts w:cs="Arial"/>
        <w:noProof/>
        <w:sz w:val="16"/>
        <w:szCs w:val="16"/>
      </w:rPr>
      <w:t>3</w:t>
    </w:r>
    <w:r w:rsidRPr="009F0760">
      <w:rPr>
        <w:rStyle w:val="PageNumbe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52DA" w14:textId="77777777" w:rsidR="00F26368" w:rsidRDefault="00F26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46A8C" w14:textId="77777777" w:rsidR="002A11D4" w:rsidRDefault="002A11D4">
      <w:r>
        <w:separator/>
      </w:r>
    </w:p>
  </w:footnote>
  <w:footnote w:type="continuationSeparator" w:id="0">
    <w:p w14:paraId="63D10C23" w14:textId="77777777" w:rsidR="002A11D4" w:rsidRDefault="002A1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A406" w14:textId="77777777" w:rsidR="00F26368" w:rsidRDefault="00F26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52EE6" w14:textId="22884F8C" w:rsidR="00C16021" w:rsidRDefault="00F26368">
    <w:pPr>
      <w:pStyle w:val="Header"/>
    </w:pPr>
    <w:r w:rsidRPr="00BB2F3D">
      <w:rPr>
        <w:noProof/>
      </w:rPr>
      <w:drawing>
        <wp:anchor distT="0" distB="0" distL="114300" distR="114300" simplePos="0" relativeHeight="251658240" behindDoc="1" locked="0" layoutInCell="1" allowOverlap="1" wp14:anchorId="7025F3F1" wp14:editId="04327E4E">
          <wp:simplePos x="0" y="0"/>
          <wp:positionH relativeFrom="column">
            <wp:posOffset>5247005</wp:posOffset>
          </wp:positionH>
          <wp:positionV relativeFrom="paragraph">
            <wp:posOffset>-76200</wp:posOffset>
          </wp:positionV>
          <wp:extent cx="1586865" cy="656590"/>
          <wp:effectExtent l="0" t="0" r="0" b="0"/>
          <wp:wrapTight wrapText="bothSides">
            <wp:wrapPolygon edited="0">
              <wp:start x="8298" y="0"/>
              <wp:lineTo x="4149" y="10027"/>
              <wp:lineTo x="2074" y="13787"/>
              <wp:lineTo x="0" y="19427"/>
              <wp:lineTo x="0" y="20681"/>
              <wp:lineTo x="21263" y="20681"/>
              <wp:lineTo x="21263" y="17547"/>
              <wp:lineTo x="16855" y="10654"/>
              <wp:lineTo x="15299" y="10027"/>
              <wp:lineTo x="14780" y="5640"/>
              <wp:lineTo x="13484" y="0"/>
              <wp:lineTo x="8298" y="0"/>
            </wp:wrapPolygon>
          </wp:wrapTight>
          <wp:docPr id="1" name="Picture 1" descr="Frimley Healthier Together: Improving the health of children and young people in Frim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mley Healthier Together: Improving the health of children and young people in Frimle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6865" cy="656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C4987F7" wp14:editId="61B6B8FC">
          <wp:extent cx="1838325" cy="910590"/>
          <wp:effectExtent l="0" t="0" r="9525" b="381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2" cstate="print">
                    <a:extLst>
                      <a:ext uri="{28A0092B-C50C-407E-A947-70E740481C1C}">
                        <a14:useLocalDpi xmlns:a14="http://schemas.microsoft.com/office/drawing/2010/main" val="0"/>
                      </a:ext>
                    </a:extLst>
                  </a:blip>
                  <a:srcRect t="20065"/>
                  <a:stretch/>
                </pic:blipFill>
                <pic:spPr bwMode="auto">
                  <a:xfrm>
                    <a:off x="0" y="0"/>
                    <a:ext cx="1838325" cy="910590"/>
                  </a:xfrm>
                  <a:prstGeom prst="rect">
                    <a:avLst/>
                  </a:prstGeom>
                  <a:ln>
                    <a:noFill/>
                  </a:ln>
                  <a:extLst>
                    <a:ext uri="{53640926-AAD7-44D8-BBD7-CCE9431645EC}">
                      <a14:shadowObscured xmlns:a14="http://schemas.microsoft.com/office/drawing/2010/main"/>
                    </a:ext>
                  </a:extLst>
                </pic:spPr>
              </pic:pic>
            </a:graphicData>
          </a:graphic>
        </wp:inline>
      </w:drawing>
    </w:r>
  </w:p>
  <w:p w14:paraId="45052690" w14:textId="77777777" w:rsidR="00C16021" w:rsidRDefault="00C160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2263" w14:textId="77777777" w:rsidR="00F26368" w:rsidRDefault="00F26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7B71"/>
    <w:multiLevelType w:val="hybridMultilevel"/>
    <w:tmpl w:val="3C064654"/>
    <w:lvl w:ilvl="0" w:tplc="08090001">
      <w:start w:val="1"/>
      <w:numFmt w:val="bullet"/>
      <w:lvlText w:val=""/>
      <w:lvlJc w:val="left"/>
      <w:pPr>
        <w:tabs>
          <w:tab w:val="num" w:pos="1800"/>
        </w:tabs>
        <w:ind w:left="1800" w:hanging="360"/>
      </w:pPr>
      <w:rPr>
        <w:rFonts w:ascii="Symbol" w:hAnsi="Symbol" w:hint="default"/>
      </w:rPr>
    </w:lvl>
    <w:lvl w:ilvl="1" w:tplc="1D768E1C">
      <w:start w:val="1"/>
      <w:numFmt w:val="bullet"/>
      <w:lvlText w:val=""/>
      <w:lvlJc w:val="left"/>
      <w:pPr>
        <w:tabs>
          <w:tab w:val="num" w:pos="3773"/>
        </w:tabs>
        <w:ind w:left="3773" w:hanging="1613"/>
      </w:pPr>
      <w:rPr>
        <w:rFonts w:ascii="Symbol" w:hAnsi="Symbol"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4DA4DEE"/>
    <w:multiLevelType w:val="hybridMultilevel"/>
    <w:tmpl w:val="F60CB4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9667D"/>
    <w:multiLevelType w:val="hybridMultilevel"/>
    <w:tmpl w:val="0C08EBE8"/>
    <w:lvl w:ilvl="0" w:tplc="6298ED7A">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66FB2"/>
    <w:multiLevelType w:val="hybridMultilevel"/>
    <w:tmpl w:val="8EE0A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32282"/>
    <w:multiLevelType w:val="hybridMultilevel"/>
    <w:tmpl w:val="0A280B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D4F44AC"/>
    <w:multiLevelType w:val="hybridMultilevel"/>
    <w:tmpl w:val="9336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F24A0"/>
    <w:multiLevelType w:val="hybridMultilevel"/>
    <w:tmpl w:val="B052D7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9D36C2"/>
    <w:multiLevelType w:val="hybridMultilevel"/>
    <w:tmpl w:val="0B7CD8CC"/>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EDE7155"/>
    <w:multiLevelType w:val="hybridMultilevel"/>
    <w:tmpl w:val="405A459E"/>
    <w:lvl w:ilvl="0" w:tplc="1D768E1C">
      <w:start w:val="1"/>
      <w:numFmt w:val="bullet"/>
      <w:lvlText w:val=""/>
      <w:lvlJc w:val="left"/>
      <w:pPr>
        <w:tabs>
          <w:tab w:val="num" w:pos="2520"/>
        </w:tabs>
        <w:ind w:left="2520" w:hanging="161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884D0D"/>
    <w:multiLevelType w:val="hybridMultilevel"/>
    <w:tmpl w:val="448A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078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433D18"/>
    <w:multiLevelType w:val="hybridMultilevel"/>
    <w:tmpl w:val="28FE1A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BEC094C"/>
    <w:multiLevelType w:val="hybridMultilevel"/>
    <w:tmpl w:val="619E83D6"/>
    <w:lvl w:ilvl="0" w:tplc="08090001">
      <w:start w:val="1"/>
      <w:numFmt w:val="bullet"/>
      <w:lvlText w:val=""/>
      <w:lvlJc w:val="left"/>
      <w:pPr>
        <w:tabs>
          <w:tab w:val="num" w:pos="1797"/>
        </w:tabs>
        <w:ind w:left="1797" w:hanging="360"/>
      </w:pPr>
      <w:rPr>
        <w:rFonts w:ascii="Symbol" w:hAnsi="Symbol" w:hint="default"/>
      </w:rPr>
    </w:lvl>
    <w:lvl w:ilvl="1" w:tplc="1D768E1C">
      <w:start w:val="1"/>
      <w:numFmt w:val="bullet"/>
      <w:lvlText w:val=""/>
      <w:lvlJc w:val="left"/>
      <w:pPr>
        <w:tabs>
          <w:tab w:val="num" w:pos="3770"/>
        </w:tabs>
        <w:ind w:left="3770" w:hanging="1613"/>
      </w:pPr>
      <w:rPr>
        <w:rFonts w:ascii="Symbol" w:hAnsi="Symbol" w:hint="default"/>
      </w:rPr>
    </w:lvl>
    <w:lvl w:ilvl="2" w:tplc="08090005" w:tentative="1">
      <w:start w:val="1"/>
      <w:numFmt w:val="bullet"/>
      <w:lvlText w:val=""/>
      <w:lvlJc w:val="left"/>
      <w:pPr>
        <w:tabs>
          <w:tab w:val="num" w:pos="3237"/>
        </w:tabs>
        <w:ind w:left="3237" w:hanging="360"/>
      </w:pPr>
      <w:rPr>
        <w:rFonts w:ascii="Wingdings" w:hAnsi="Wingdings" w:hint="default"/>
      </w:rPr>
    </w:lvl>
    <w:lvl w:ilvl="3" w:tplc="08090001" w:tentative="1">
      <w:start w:val="1"/>
      <w:numFmt w:val="bullet"/>
      <w:lvlText w:val=""/>
      <w:lvlJc w:val="left"/>
      <w:pPr>
        <w:tabs>
          <w:tab w:val="num" w:pos="3957"/>
        </w:tabs>
        <w:ind w:left="3957" w:hanging="360"/>
      </w:pPr>
      <w:rPr>
        <w:rFonts w:ascii="Symbol" w:hAnsi="Symbol" w:hint="default"/>
      </w:rPr>
    </w:lvl>
    <w:lvl w:ilvl="4" w:tplc="08090003" w:tentative="1">
      <w:start w:val="1"/>
      <w:numFmt w:val="bullet"/>
      <w:lvlText w:val="o"/>
      <w:lvlJc w:val="left"/>
      <w:pPr>
        <w:tabs>
          <w:tab w:val="num" w:pos="4677"/>
        </w:tabs>
        <w:ind w:left="4677" w:hanging="360"/>
      </w:pPr>
      <w:rPr>
        <w:rFonts w:ascii="Courier New" w:hAnsi="Courier New" w:cs="Courier New" w:hint="default"/>
      </w:rPr>
    </w:lvl>
    <w:lvl w:ilvl="5" w:tplc="08090005" w:tentative="1">
      <w:start w:val="1"/>
      <w:numFmt w:val="bullet"/>
      <w:lvlText w:val=""/>
      <w:lvlJc w:val="left"/>
      <w:pPr>
        <w:tabs>
          <w:tab w:val="num" w:pos="5397"/>
        </w:tabs>
        <w:ind w:left="5397" w:hanging="360"/>
      </w:pPr>
      <w:rPr>
        <w:rFonts w:ascii="Wingdings" w:hAnsi="Wingdings" w:hint="default"/>
      </w:rPr>
    </w:lvl>
    <w:lvl w:ilvl="6" w:tplc="08090001" w:tentative="1">
      <w:start w:val="1"/>
      <w:numFmt w:val="bullet"/>
      <w:lvlText w:val=""/>
      <w:lvlJc w:val="left"/>
      <w:pPr>
        <w:tabs>
          <w:tab w:val="num" w:pos="6117"/>
        </w:tabs>
        <w:ind w:left="6117" w:hanging="360"/>
      </w:pPr>
      <w:rPr>
        <w:rFonts w:ascii="Symbol" w:hAnsi="Symbol" w:hint="default"/>
      </w:rPr>
    </w:lvl>
    <w:lvl w:ilvl="7" w:tplc="08090003" w:tentative="1">
      <w:start w:val="1"/>
      <w:numFmt w:val="bullet"/>
      <w:lvlText w:val="o"/>
      <w:lvlJc w:val="left"/>
      <w:pPr>
        <w:tabs>
          <w:tab w:val="num" w:pos="6837"/>
        </w:tabs>
        <w:ind w:left="6837" w:hanging="360"/>
      </w:pPr>
      <w:rPr>
        <w:rFonts w:ascii="Courier New" w:hAnsi="Courier New" w:cs="Courier New" w:hint="default"/>
      </w:rPr>
    </w:lvl>
    <w:lvl w:ilvl="8" w:tplc="08090005" w:tentative="1">
      <w:start w:val="1"/>
      <w:numFmt w:val="bullet"/>
      <w:lvlText w:val=""/>
      <w:lvlJc w:val="left"/>
      <w:pPr>
        <w:tabs>
          <w:tab w:val="num" w:pos="7557"/>
        </w:tabs>
        <w:ind w:left="7557" w:hanging="360"/>
      </w:pPr>
      <w:rPr>
        <w:rFonts w:ascii="Wingdings" w:hAnsi="Wingdings" w:hint="default"/>
      </w:rPr>
    </w:lvl>
  </w:abstractNum>
  <w:abstractNum w:abstractNumId="13" w15:restartNumberingAfterBreak="0">
    <w:nsid w:val="40B94CA0"/>
    <w:multiLevelType w:val="hybridMultilevel"/>
    <w:tmpl w:val="C246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12EEC"/>
    <w:multiLevelType w:val="hybridMultilevel"/>
    <w:tmpl w:val="AB0092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CE2F2F"/>
    <w:multiLevelType w:val="hybridMultilevel"/>
    <w:tmpl w:val="D004E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F27BD2"/>
    <w:multiLevelType w:val="hybridMultilevel"/>
    <w:tmpl w:val="F56A6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BE1BA9"/>
    <w:multiLevelType w:val="hybridMultilevel"/>
    <w:tmpl w:val="BA640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FA0D9A"/>
    <w:multiLevelType w:val="hybridMultilevel"/>
    <w:tmpl w:val="DBF00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959E5"/>
    <w:multiLevelType w:val="hybridMultilevel"/>
    <w:tmpl w:val="DC7E5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3747B0"/>
    <w:multiLevelType w:val="hybridMultilevel"/>
    <w:tmpl w:val="C1B61B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CB65A4F"/>
    <w:multiLevelType w:val="hybridMultilevel"/>
    <w:tmpl w:val="AB3E1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DD7378"/>
    <w:multiLevelType w:val="hybridMultilevel"/>
    <w:tmpl w:val="4AE808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32F13E8"/>
    <w:multiLevelType w:val="hybridMultilevel"/>
    <w:tmpl w:val="E47E51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8"/>
  </w:num>
  <w:num w:numId="4">
    <w:abstractNumId w:val="0"/>
  </w:num>
  <w:num w:numId="5">
    <w:abstractNumId w:val="12"/>
  </w:num>
  <w:num w:numId="6">
    <w:abstractNumId w:val="17"/>
  </w:num>
  <w:num w:numId="7">
    <w:abstractNumId w:val="14"/>
  </w:num>
  <w:num w:numId="8">
    <w:abstractNumId w:val="9"/>
  </w:num>
  <w:num w:numId="9">
    <w:abstractNumId w:val="3"/>
  </w:num>
  <w:num w:numId="10">
    <w:abstractNumId w:val="4"/>
  </w:num>
  <w:num w:numId="11">
    <w:abstractNumId w:val="10"/>
  </w:num>
  <w:num w:numId="12">
    <w:abstractNumId w:val="7"/>
  </w:num>
  <w:num w:numId="13">
    <w:abstractNumId w:val="11"/>
  </w:num>
  <w:num w:numId="14">
    <w:abstractNumId w:val="22"/>
  </w:num>
  <w:num w:numId="15">
    <w:abstractNumId w:val="20"/>
  </w:num>
  <w:num w:numId="16">
    <w:abstractNumId w:val="23"/>
  </w:num>
  <w:num w:numId="17">
    <w:abstractNumId w:val="5"/>
  </w:num>
  <w:num w:numId="18">
    <w:abstractNumId w:val="21"/>
  </w:num>
  <w:num w:numId="19">
    <w:abstractNumId w:val="18"/>
  </w:num>
  <w:num w:numId="20">
    <w:abstractNumId w:val="13"/>
  </w:num>
  <w:num w:numId="21">
    <w:abstractNumId w:val="15"/>
  </w:num>
  <w:num w:numId="22">
    <w:abstractNumId w:val="19"/>
  </w:num>
  <w:num w:numId="23">
    <w:abstractNumId w:val="6"/>
  </w:num>
  <w:num w:numId="2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v:fill color="white" on="f"/>
      <v:stroke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E1"/>
    <w:rsid w:val="000013E4"/>
    <w:rsid w:val="00002206"/>
    <w:rsid w:val="00003E9E"/>
    <w:rsid w:val="0000540D"/>
    <w:rsid w:val="0001265A"/>
    <w:rsid w:val="00012DE6"/>
    <w:rsid w:val="00014A4C"/>
    <w:rsid w:val="00026909"/>
    <w:rsid w:val="00032FBE"/>
    <w:rsid w:val="00032FF6"/>
    <w:rsid w:val="00036667"/>
    <w:rsid w:val="0003728B"/>
    <w:rsid w:val="00044B63"/>
    <w:rsid w:val="00052566"/>
    <w:rsid w:val="00055251"/>
    <w:rsid w:val="00055D35"/>
    <w:rsid w:val="00061261"/>
    <w:rsid w:val="00063E1C"/>
    <w:rsid w:val="00064FA1"/>
    <w:rsid w:val="00065E7D"/>
    <w:rsid w:val="00066B80"/>
    <w:rsid w:val="00074828"/>
    <w:rsid w:val="00076279"/>
    <w:rsid w:val="00077B25"/>
    <w:rsid w:val="00082622"/>
    <w:rsid w:val="00083D49"/>
    <w:rsid w:val="00085581"/>
    <w:rsid w:val="000871F5"/>
    <w:rsid w:val="00090998"/>
    <w:rsid w:val="00092864"/>
    <w:rsid w:val="00092E19"/>
    <w:rsid w:val="00097230"/>
    <w:rsid w:val="000A79FD"/>
    <w:rsid w:val="000B1FE4"/>
    <w:rsid w:val="000B6E98"/>
    <w:rsid w:val="000C1D29"/>
    <w:rsid w:val="000C2A59"/>
    <w:rsid w:val="000C361F"/>
    <w:rsid w:val="000D316B"/>
    <w:rsid w:val="000E001F"/>
    <w:rsid w:val="000E3D33"/>
    <w:rsid w:val="000E5E96"/>
    <w:rsid w:val="000E7412"/>
    <w:rsid w:val="000E770E"/>
    <w:rsid w:val="000F0147"/>
    <w:rsid w:val="000F19C8"/>
    <w:rsid w:val="000F1C4B"/>
    <w:rsid w:val="000F50B4"/>
    <w:rsid w:val="001036F3"/>
    <w:rsid w:val="00103B6A"/>
    <w:rsid w:val="00106431"/>
    <w:rsid w:val="001073D9"/>
    <w:rsid w:val="00107ADD"/>
    <w:rsid w:val="00111BAD"/>
    <w:rsid w:val="001134D0"/>
    <w:rsid w:val="00114119"/>
    <w:rsid w:val="00123728"/>
    <w:rsid w:val="0013035E"/>
    <w:rsid w:val="00131678"/>
    <w:rsid w:val="00134544"/>
    <w:rsid w:val="00135B38"/>
    <w:rsid w:val="00144FDA"/>
    <w:rsid w:val="00145305"/>
    <w:rsid w:val="00147787"/>
    <w:rsid w:val="00162C9B"/>
    <w:rsid w:val="00164C78"/>
    <w:rsid w:val="001702D4"/>
    <w:rsid w:val="00174869"/>
    <w:rsid w:val="0017729C"/>
    <w:rsid w:val="001772F3"/>
    <w:rsid w:val="00177A4B"/>
    <w:rsid w:val="001815E6"/>
    <w:rsid w:val="0018594B"/>
    <w:rsid w:val="00187096"/>
    <w:rsid w:val="001908E0"/>
    <w:rsid w:val="0019109A"/>
    <w:rsid w:val="00191F33"/>
    <w:rsid w:val="00192857"/>
    <w:rsid w:val="00193A72"/>
    <w:rsid w:val="00196920"/>
    <w:rsid w:val="001A271B"/>
    <w:rsid w:val="001A41AF"/>
    <w:rsid w:val="001A41D7"/>
    <w:rsid w:val="001A7910"/>
    <w:rsid w:val="001A79D1"/>
    <w:rsid w:val="001B3467"/>
    <w:rsid w:val="001B4A1F"/>
    <w:rsid w:val="001B61EC"/>
    <w:rsid w:val="001C4B08"/>
    <w:rsid w:val="001D4029"/>
    <w:rsid w:val="001D51B3"/>
    <w:rsid w:val="001D7D54"/>
    <w:rsid w:val="001F76E6"/>
    <w:rsid w:val="0020266B"/>
    <w:rsid w:val="002038B6"/>
    <w:rsid w:val="00204306"/>
    <w:rsid w:val="0021121E"/>
    <w:rsid w:val="002123EC"/>
    <w:rsid w:val="00213043"/>
    <w:rsid w:val="002146D9"/>
    <w:rsid w:val="00220204"/>
    <w:rsid w:val="002222C0"/>
    <w:rsid w:val="002265E4"/>
    <w:rsid w:val="00230866"/>
    <w:rsid w:val="002318AC"/>
    <w:rsid w:val="00236682"/>
    <w:rsid w:val="002433CC"/>
    <w:rsid w:val="00245D68"/>
    <w:rsid w:val="00246471"/>
    <w:rsid w:val="00250DB3"/>
    <w:rsid w:val="00257967"/>
    <w:rsid w:val="00264CCC"/>
    <w:rsid w:val="00270267"/>
    <w:rsid w:val="002714AB"/>
    <w:rsid w:val="00272EBD"/>
    <w:rsid w:val="00274FDF"/>
    <w:rsid w:val="0027582C"/>
    <w:rsid w:val="0027635E"/>
    <w:rsid w:val="00281AA4"/>
    <w:rsid w:val="0028236E"/>
    <w:rsid w:val="0028270D"/>
    <w:rsid w:val="00282D2F"/>
    <w:rsid w:val="00284F6E"/>
    <w:rsid w:val="00285232"/>
    <w:rsid w:val="002909F6"/>
    <w:rsid w:val="00296D0C"/>
    <w:rsid w:val="002A11D4"/>
    <w:rsid w:val="002A314A"/>
    <w:rsid w:val="002A61A7"/>
    <w:rsid w:val="002A7855"/>
    <w:rsid w:val="002A7AFD"/>
    <w:rsid w:val="002A7E8A"/>
    <w:rsid w:val="002B1617"/>
    <w:rsid w:val="002B71AC"/>
    <w:rsid w:val="002C2BA0"/>
    <w:rsid w:val="002C3662"/>
    <w:rsid w:val="002C4C3A"/>
    <w:rsid w:val="002C6345"/>
    <w:rsid w:val="002D1732"/>
    <w:rsid w:val="002D4990"/>
    <w:rsid w:val="002D6C14"/>
    <w:rsid w:val="002E315A"/>
    <w:rsid w:val="002E4369"/>
    <w:rsid w:val="002E4F6A"/>
    <w:rsid w:val="002E553B"/>
    <w:rsid w:val="002E7CDA"/>
    <w:rsid w:val="002F2223"/>
    <w:rsid w:val="002F293D"/>
    <w:rsid w:val="002F3E9E"/>
    <w:rsid w:val="002F6D81"/>
    <w:rsid w:val="002F75F6"/>
    <w:rsid w:val="003014D9"/>
    <w:rsid w:val="0030153C"/>
    <w:rsid w:val="00301DEF"/>
    <w:rsid w:val="00302A28"/>
    <w:rsid w:val="00302B51"/>
    <w:rsid w:val="00303CEA"/>
    <w:rsid w:val="00307D94"/>
    <w:rsid w:val="00315864"/>
    <w:rsid w:val="00316C5B"/>
    <w:rsid w:val="0032461C"/>
    <w:rsid w:val="00333768"/>
    <w:rsid w:val="0033392A"/>
    <w:rsid w:val="00336056"/>
    <w:rsid w:val="003421CF"/>
    <w:rsid w:val="003748CC"/>
    <w:rsid w:val="00381CCB"/>
    <w:rsid w:val="0038279A"/>
    <w:rsid w:val="003864F6"/>
    <w:rsid w:val="003A03FC"/>
    <w:rsid w:val="003A05B8"/>
    <w:rsid w:val="003A1D34"/>
    <w:rsid w:val="003A29B5"/>
    <w:rsid w:val="003A545C"/>
    <w:rsid w:val="003A5792"/>
    <w:rsid w:val="003A6A5A"/>
    <w:rsid w:val="003A7D8C"/>
    <w:rsid w:val="003B06EB"/>
    <w:rsid w:val="003B1551"/>
    <w:rsid w:val="003B7AC0"/>
    <w:rsid w:val="003C6698"/>
    <w:rsid w:val="003C7468"/>
    <w:rsid w:val="003D0B1E"/>
    <w:rsid w:val="003D2B26"/>
    <w:rsid w:val="003D3D69"/>
    <w:rsid w:val="003D6F2C"/>
    <w:rsid w:val="003E47C0"/>
    <w:rsid w:val="003E57F0"/>
    <w:rsid w:val="003E5AD4"/>
    <w:rsid w:val="003E7D8A"/>
    <w:rsid w:val="003F3267"/>
    <w:rsid w:val="00400A32"/>
    <w:rsid w:val="0040428F"/>
    <w:rsid w:val="00411FA5"/>
    <w:rsid w:val="00412523"/>
    <w:rsid w:val="00415C59"/>
    <w:rsid w:val="00423667"/>
    <w:rsid w:val="00427AB4"/>
    <w:rsid w:val="004305F8"/>
    <w:rsid w:val="00430E5B"/>
    <w:rsid w:val="00447CC2"/>
    <w:rsid w:val="00455368"/>
    <w:rsid w:val="004568CE"/>
    <w:rsid w:val="004570BA"/>
    <w:rsid w:val="00462ECF"/>
    <w:rsid w:val="0046341D"/>
    <w:rsid w:val="004652FE"/>
    <w:rsid w:val="0046667C"/>
    <w:rsid w:val="00473CAC"/>
    <w:rsid w:val="00474BE2"/>
    <w:rsid w:val="0048029E"/>
    <w:rsid w:val="00496EB0"/>
    <w:rsid w:val="004A0908"/>
    <w:rsid w:val="004A1071"/>
    <w:rsid w:val="004A65CB"/>
    <w:rsid w:val="004B41CB"/>
    <w:rsid w:val="004C2512"/>
    <w:rsid w:val="004C3560"/>
    <w:rsid w:val="004C42DD"/>
    <w:rsid w:val="004C5B49"/>
    <w:rsid w:val="004C6A44"/>
    <w:rsid w:val="004D7073"/>
    <w:rsid w:val="004D7D29"/>
    <w:rsid w:val="004E0675"/>
    <w:rsid w:val="00502BBE"/>
    <w:rsid w:val="00503649"/>
    <w:rsid w:val="005040A1"/>
    <w:rsid w:val="00510C25"/>
    <w:rsid w:val="00511A46"/>
    <w:rsid w:val="00512CDD"/>
    <w:rsid w:val="0052116C"/>
    <w:rsid w:val="00523245"/>
    <w:rsid w:val="00524CD2"/>
    <w:rsid w:val="0052784F"/>
    <w:rsid w:val="00536184"/>
    <w:rsid w:val="00536FBB"/>
    <w:rsid w:val="005375BA"/>
    <w:rsid w:val="00542314"/>
    <w:rsid w:val="00542458"/>
    <w:rsid w:val="00544CD1"/>
    <w:rsid w:val="0055186A"/>
    <w:rsid w:val="0055747F"/>
    <w:rsid w:val="00557912"/>
    <w:rsid w:val="00557D55"/>
    <w:rsid w:val="005632A5"/>
    <w:rsid w:val="00563C3F"/>
    <w:rsid w:val="005744F4"/>
    <w:rsid w:val="00574E1E"/>
    <w:rsid w:val="00577AF9"/>
    <w:rsid w:val="0058032B"/>
    <w:rsid w:val="00581577"/>
    <w:rsid w:val="00585B41"/>
    <w:rsid w:val="00593501"/>
    <w:rsid w:val="0059560C"/>
    <w:rsid w:val="005968FD"/>
    <w:rsid w:val="005A7C69"/>
    <w:rsid w:val="005C2967"/>
    <w:rsid w:val="005C2A6F"/>
    <w:rsid w:val="005C6224"/>
    <w:rsid w:val="005D26DF"/>
    <w:rsid w:val="005D422B"/>
    <w:rsid w:val="005D5814"/>
    <w:rsid w:val="005D7AC5"/>
    <w:rsid w:val="006015FF"/>
    <w:rsid w:val="00602EDE"/>
    <w:rsid w:val="00605C81"/>
    <w:rsid w:val="00610CD5"/>
    <w:rsid w:val="00611377"/>
    <w:rsid w:val="00612C13"/>
    <w:rsid w:val="0061777C"/>
    <w:rsid w:val="006203F6"/>
    <w:rsid w:val="0062089D"/>
    <w:rsid w:val="00623B41"/>
    <w:rsid w:val="00633199"/>
    <w:rsid w:val="006336CA"/>
    <w:rsid w:val="00633DC0"/>
    <w:rsid w:val="00635F4E"/>
    <w:rsid w:val="00636EF9"/>
    <w:rsid w:val="00641C49"/>
    <w:rsid w:val="00643170"/>
    <w:rsid w:val="00644A29"/>
    <w:rsid w:val="006456DE"/>
    <w:rsid w:val="00645FA0"/>
    <w:rsid w:val="00646611"/>
    <w:rsid w:val="006473B0"/>
    <w:rsid w:val="00650922"/>
    <w:rsid w:val="006509B1"/>
    <w:rsid w:val="00650BF4"/>
    <w:rsid w:val="00651FEE"/>
    <w:rsid w:val="006542DF"/>
    <w:rsid w:val="00655792"/>
    <w:rsid w:val="00660FF4"/>
    <w:rsid w:val="006634CD"/>
    <w:rsid w:val="00666DDD"/>
    <w:rsid w:val="006770B4"/>
    <w:rsid w:val="00682C83"/>
    <w:rsid w:val="00683038"/>
    <w:rsid w:val="00684BA8"/>
    <w:rsid w:val="00691175"/>
    <w:rsid w:val="006A300E"/>
    <w:rsid w:val="006A7AC6"/>
    <w:rsid w:val="006B503C"/>
    <w:rsid w:val="006C1426"/>
    <w:rsid w:val="006D7B55"/>
    <w:rsid w:val="006E1DD7"/>
    <w:rsid w:val="006E3060"/>
    <w:rsid w:val="006E6EA8"/>
    <w:rsid w:val="006F13F8"/>
    <w:rsid w:val="006F24C7"/>
    <w:rsid w:val="006F253A"/>
    <w:rsid w:val="006F38CE"/>
    <w:rsid w:val="006F4721"/>
    <w:rsid w:val="00700537"/>
    <w:rsid w:val="0070127A"/>
    <w:rsid w:val="00703A5D"/>
    <w:rsid w:val="00703A94"/>
    <w:rsid w:val="0070686A"/>
    <w:rsid w:val="007111B9"/>
    <w:rsid w:val="00712EF9"/>
    <w:rsid w:val="00713430"/>
    <w:rsid w:val="00720D21"/>
    <w:rsid w:val="007212AC"/>
    <w:rsid w:val="00726A61"/>
    <w:rsid w:val="007276E6"/>
    <w:rsid w:val="00735FEE"/>
    <w:rsid w:val="00737435"/>
    <w:rsid w:val="00741D7C"/>
    <w:rsid w:val="007452AF"/>
    <w:rsid w:val="00754516"/>
    <w:rsid w:val="00760231"/>
    <w:rsid w:val="00760541"/>
    <w:rsid w:val="007625E2"/>
    <w:rsid w:val="00770932"/>
    <w:rsid w:val="0077206F"/>
    <w:rsid w:val="00772B67"/>
    <w:rsid w:val="0077776D"/>
    <w:rsid w:val="007855ED"/>
    <w:rsid w:val="00786FE6"/>
    <w:rsid w:val="00795060"/>
    <w:rsid w:val="007A0CA4"/>
    <w:rsid w:val="007A1957"/>
    <w:rsid w:val="007A6D7E"/>
    <w:rsid w:val="007B4F64"/>
    <w:rsid w:val="007B54A7"/>
    <w:rsid w:val="007B55D7"/>
    <w:rsid w:val="007B6D2D"/>
    <w:rsid w:val="007C1914"/>
    <w:rsid w:val="007C2C87"/>
    <w:rsid w:val="007C3131"/>
    <w:rsid w:val="007C4A0E"/>
    <w:rsid w:val="007D420C"/>
    <w:rsid w:val="007D6381"/>
    <w:rsid w:val="007E1328"/>
    <w:rsid w:val="007E443A"/>
    <w:rsid w:val="007F0723"/>
    <w:rsid w:val="007F3719"/>
    <w:rsid w:val="008018AC"/>
    <w:rsid w:val="00801A9A"/>
    <w:rsid w:val="00806C56"/>
    <w:rsid w:val="00807BED"/>
    <w:rsid w:val="008123C1"/>
    <w:rsid w:val="00822F48"/>
    <w:rsid w:val="00822F8C"/>
    <w:rsid w:val="008231EB"/>
    <w:rsid w:val="00824642"/>
    <w:rsid w:val="00824EF2"/>
    <w:rsid w:val="008314C7"/>
    <w:rsid w:val="008331BC"/>
    <w:rsid w:val="00834876"/>
    <w:rsid w:val="008366B8"/>
    <w:rsid w:val="00841DC4"/>
    <w:rsid w:val="0084693A"/>
    <w:rsid w:val="00846F0E"/>
    <w:rsid w:val="00851BC9"/>
    <w:rsid w:val="00852E3F"/>
    <w:rsid w:val="00863B8A"/>
    <w:rsid w:val="008657A0"/>
    <w:rsid w:val="008670FA"/>
    <w:rsid w:val="00867823"/>
    <w:rsid w:val="00872455"/>
    <w:rsid w:val="00872B61"/>
    <w:rsid w:val="00875EBE"/>
    <w:rsid w:val="0088065B"/>
    <w:rsid w:val="008818C5"/>
    <w:rsid w:val="008902FE"/>
    <w:rsid w:val="008905D9"/>
    <w:rsid w:val="008943F0"/>
    <w:rsid w:val="008960E8"/>
    <w:rsid w:val="008A603B"/>
    <w:rsid w:val="008A79FC"/>
    <w:rsid w:val="008B63DE"/>
    <w:rsid w:val="008C3580"/>
    <w:rsid w:val="008C6165"/>
    <w:rsid w:val="008C7ABF"/>
    <w:rsid w:val="008D5ECA"/>
    <w:rsid w:val="008E0877"/>
    <w:rsid w:val="008E4FEB"/>
    <w:rsid w:val="008E6D81"/>
    <w:rsid w:val="008F63FE"/>
    <w:rsid w:val="0090124A"/>
    <w:rsid w:val="0090236D"/>
    <w:rsid w:val="00902A37"/>
    <w:rsid w:val="00907280"/>
    <w:rsid w:val="00912036"/>
    <w:rsid w:val="009135FD"/>
    <w:rsid w:val="00914209"/>
    <w:rsid w:val="00921D39"/>
    <w:rsid w:val="00922CDC"/>
    <w:rsid w:val="00930CD1"/>
    <w:rsid w:val="009524A9"/>
    <w:rsid w:val="0095268D"/>
    <w:rsid w:val="00957200"/>
    <w:rsid w:val="00961164"/>
    <w:rsid w:val="0096293F"/>
    <w:rsid w:val="00963F17"/>
    <w:rsid w:val="00964423"/>
    <w:rsid w:val="009644D9"/>
    <w:rsid w:val="00964621"/>
    <w:rsid w:val="0096723D"/>
    <w:rsid w:val="00970BA1"/>
    <w:rsid w:val="00971D45"/>
    <w:rsid w:val="00976A4E"/>
    <w:rsid w:val="00977AF7"/>
    <w:rsid w:val="00980168"/>
    <w:rsid w:val="00981DFE"/>
    <w:rsid w:val="00982428"/>
    <w:rsid w:val="0098396D"/>
    <w:rsid w:val="00984562"/>
    <w:rsid w:val="0099762B"/>
    <w:rsid w:val="009A559D"/>
    <w:rsid w:val="009B1661"/>
    <w:rsid w:val="009B2A5C"/>
    <w:rsid w:val="009B5743"/>
    <w:rsid w:val="009B6FF2"/>
    <w:rsid w:val="009B7B0E"/>
    <w:rsid w:val="009C7189"/>
    <w:rsid w:val="009D36FF"/>
    <w:rsid w:val="009D451A"/>
    <w:rsid w:val="009D4FFA"/>
    <w:rsid w:val="009D5FC0"/>
    <w:rsid w:val="009D79CA"/>
    <w:rsid w:val="009E0E04"/>
    <w:rsid w:val="009E282C"/>
    <w:rsid w:val="009E35AE"/>
    <w:rsid w:val="009E4F12"/>
    <w:rsid w:val="009E75F1"/>
    <w:rsid w:val="009E7948"/>
    <w:rsid w:val="009F0760"/>
    <w:rsid w:val="009F7C50"/>
    <w:rsid w:val="00A0064A"/>
    <w:rsid w:val="00A1138C"/>
    <w:rsid w:val="00A16C6B"/>
    <w:rsid w:val="00A20AC6"/>
    <w:rsid w:val="00A223E5"/>
    <w:rsid w:val="00A30F94"/>
    <w:rsid w:val="00A34D58"/>
    <w:rsid w:val="00A440D0"/>
    <w:rsid w:val="00A509A4"/>
    <w:rsid w:val="00A52DD4"/>
    <w:rsid w:val="00A55270"/>
    <w:rsid w:val="00A55DEA"/>
    <w:rsid w:val="00A56BF2"/>
    <w:rsid w:val="00A57CFD"/>
    <w:rsid w:val="00A611E2"/>
    <w:rsid w:val="00A66475"/>
    <w:rsid w:val="00A75914"/>
    <w:rsid w:val="00A76214"/>
    <w:rsid w:val="00A813E7"/>
    <w:rsid w:val="00A96EA4"/>
    <w:rsid w:val="00A97835"/>
    <w:rsid w:val="00AA00E3"/>
    <w:rsid w:val="00AA0912"/>
    <w:rsid w:val="00AA6591"/>
    <w:rsid w:val="00AB0B2E"/>
    <w:rsid w:val="00AB5226"/>
    <w:rsid w:val="00AB5268"/>
    <w:rsid w:val="00AC1249"/>
    <w:rsid w:val="00AC2E0F"/>
    <w:rsid w:val="00AD1368"/>
    <w:rsid w:val="00AD2CA4"/>
    <w:rsid w:val="00AE034E"/>
    <w:rsid w:val="00AE53CE"/>
    <w:rsid w:val="00AE7AC2"/>
    <w:rsid w:val="00B0156F"/>
    <w:rsid w:val="00B02EAF"/>
    <w:rsid w:val="00B05CFE"/>
    <w:rsid w:val="00B06959"/>
    <w:rsid w:val="00B1068E"/>
    <w:rsid w:val="00B11D50"/>
    <w:rsid w:val="00B13C59"/>
    <w:rsid w:val="00B15468"/>
    <w:rsid w:val="00B21044"/>
    <w:rsid w:val="00B266D0"/>
    <w:rsid w:val="00B32A96"/>
    <w:rsid w:val="00B3335C"/>
    <w:rsid w:val="00B35137"/>
    <w:rsid w:val="00B4268D"/>
    <w:rsid w:val="00B426C0"/>
    <w:rsid w:val="00B57F3F"/>
    <w:rsid w:val="00B6136A"/>
    <w:rsid w:val="00B74F25"/>
    <w:rsid w:val="00B766B5"/>
    <w:rsid w:val="00B76B91"/>
    <w:rsid w:val="00B81F8E"/>
    <w:rsid w:val="00B82F20"/>
    <w:rsid w:val="00B86E29"/>
    <w:rsid w:val="00B91545"/>
    <w:rsid w:val="00B96166"/>
    <w:rsid w:val="00B96C02"/>
    <w:rsid w:val="00BA4167"/>
    <w:rsid w:val="00BA41BC"/>
    <w:rsid w:val="00BA45FA"/>
    <w:rsid w:val="00BA6AEE"/>
    <w:rsid w:val="00BA6B5F"/>
    <w:rsid w:val="00BA7802"/>
    <w:rsid w:val="00BB0690"/>
    <w:rsid w:val="00BB3E20"/>
    <w:rsid w:val="00BB66F7"/>
    <w:rsid w:val="00BD117D"/>
    <w:rsid w:val="00BD3EDC"/>
    <w:rsid w:val="00BD79FF"/>
    <w:rsid w:val="00BE10D8"/>
    <w:rsid w:val="00BE6890"/>
    <w:rsid w:val="00BF22D4"/>
    <w:rsid w:val="00C065C3"/>
    <w:rsid w:val="00C0793C"/>
    <w:rsid w:val="00C13550"/>
    <w:rsid w:val="00C14846"/>
    <w:rsid w:val="00C16021"/>
    <w:rsid w:val="00C20F10"/>
    <w:rsid w:val="00C270B7"/>
    <w:rsid w:val="00C307F4"/>
    <w:rsid w:val="00C30A77"/>
    <w:rsid w:val="00C30D44"/>
    <w:rsid w:val="00C37872"/>
    <w:rsid w:val="00C44006"/>
    <w:rsid w:val="00C52CC2"/>
    <w:rsid w:val="00C60D07"/>
    <w:rsid w:val="00C637CF"/>
    <w:rsid w:val="00C6408F"/>
    <w:rsid w:val="00C650B7"/>
    <w:rsid w:val="00C65A3A"/>
    <w:rsid w:val="00C66535"/>
    <w:rsid w:val="00C6660D"/>
    <w:rsid w:val="00C70624"/>
    <w:rsid w:val="00C70877"/>
    <w:rsid w:val="00C75973"/>
    <w:rsid w:val="00C76A5D"/>
    <w:rsid w:val="00C77934"/>
    <w:rsid w:val="00C81962"/>
    <w:rsid w:val="00C81E7D"/>
    <w:rsid w:val="00C8287D"/>
    <w:rsid w:val="00C834FE"/>
    <w:rsid w:val="00C83AAC"/>
    <w:rsid w:val="00C92EB4"/>
    <w:rsid w:val="00C939B7"/>
    <w:rsid w:val="00CA4BD4"/>
    <w:rsid w:val="00CA6A0D"/>
    <w:rsid w:val="00CB11CC"/>
    <w:rsid w:val="00CB2033"/>
    <w:rsid w:val="00CB2690"/>
    <w:rsid w:val="00CB6921"/>
    <w:rsid w:val="00CB6AF5"/>
    <w:rsid w:val="00CC1A4E"/>
    <w:rsid w:val="00CC2F19"/>
    <w:rsid w:val="00CC5112"/>
    <w:rsid w:val="00CD1FB9"/>
    <w:rsid w:val="00CE2543"/>
    <w:rsid w:val="00CE2FFF"/>
    <w:rsid w:val="00CE3033"/>
    <w:rsid w:val="00CE5730"/>
    <w:rsid w:val="00CE6A23"/>
    <w:rsid w:val="00CE7105"/>
    <w:rsid w:val="00CF1981"/>
    <w:rsid w:val="00CF2585"/>
    <w:rsid w:val="00CF2EC4"/>
    <w:rsid w:val="00CF3AE0"/>
    <w:rsid w:val="00D01443"/>
    <w:rsid w:val="00D06D4D"/>
    <w:rsid w:val="00D072B5"/>
    <w:rsid w:val="00D07EAC"/>
    <w:rsid w:val="00D10221"/>
    <w:rsid w:val="00D11BC8"/>
    <w:rsid w:val="00D16C76"/>
    <w:rsid w:val="00D250D8"/>
    <w:rsid w:val="00D35AD7"/>
    <w:rsid w:val="00D4046B"/>
    <w:rsid w:val="00D43EA2"/>
    <w:rsid w:val="00D43F4A"/>
    <w:rsid w:val="00D518DD"/>
    <w:rsid w:val="00D541FF"/>
    <w:rsid w:val="00D54906"/>
    <w:rsid w:val="00D54B83"/>
    <w:rsid w:val="00D5694D"/>
    <w:rsid w:val="00D60FCF"/>
    <w:rsid w:val="00D67BAA"/>
    <w:rsid w:val="00D70187"/>
    <w:rsid w:val="00D70396"/>
    <w:rsid w:val="00D72779"/>
    <w:rsid w:val="00D739F2"/>
    <w:rsid w:val="00D73BB7"/>
    <w:rsid w:val="00D73CC4"/>
    <w:rsid w:val="00D73D84"/>
    <w:rsid w:val="00D74FB4"/>
    <w:rsid w:val="00D84493"/>
    <w:rsid w:val="00D9487C"/>
    <w:rsid w:val="00D97A81"/>
    <w:rsid w:val="00DA107C"/>
    <w:rsid w:val="00DA2681"/>
    <w:rsid w:val="00DA3A4F"/>
    <w:rsid w:val="00DA59B3"/>
    <w:rsid w:val="00DB70B1"/>
    <w:rsid w:val="00DB78A8"/>
    <w:rsid w:val="00DB7BAC"/>
    <w:rsid w:val="00DC0C83"/>
    <w:rsid w:val="00DC0E7E"/>
    <w:rsid w:val="00DC23A4"/>
    <w:rsid w:val="00DC441F"/>
    <w:rsid w:val="00DC4A33"/>
    <w:rsid w:val="00DD6B09"/>
    <w:rsid w:val="00DE3017"/>
    <w:rsid w:val="00DE5BCF"/>
    <w:rsid w:val="00DE6A97"/>
    <w:rsid w:val="00DE7DCB"/>
    <w:rsid w:val="00DF540B"/>
    <w:rsid w:val="00E00C72"/>
    <w:rsid w:val="00E02140"/>
    <w:rsid w:val="00E02849"/>
    <w:rsid w:val="00E06BC7"/>
    <w:rsid w:val="00E07927"/>
    <w:rsid w:val="00E07974"/>
    <w:rsid w:val="00E11544"/>
    <w:rsid w:val="00E116EB"/>
    <w:rsid w:val="00E13EE4"/>
    <w:rsid w:val="00E15DDD"/>
    <w:rsid w:val="00E2349E"/>
    <w:rsid w:val="00E24300"/>
    <w:rsid w:val="00E26E1F"/>
    <w:rsid w:val="00E32CFC"/>
    <w:rsid w:val="00E413E6"/>
    <w:rsid w:val="00E42903"/>
    <w:rsid w:val="00E47EE5"/>
    <w:rsid w:val="00E5029F"/>
    <w:rsid w:val="00E540F3"/>
    <w:rsid w:val="00E56C68"/>
    <w:rsid w:val="00E61888"/>
    <w:rsid w:val="00E64070"/>
    <w:rsid w:val="00E660B8"/>
    <w:rsid w:val="00E6613B"/>
    <w:rsid w:val="00E722D4"/>
    <w:rsid w:val="00E73347"/>
    <w:rsid w:val="00E73428"/>
    <w:rsid w:val="00E8181E"/>
    <w:rsid w:val="00E869CF"/>
    <w:rsid w:val="00E96C56"/>
    <w:rsid w:val="00E97D80"/>
    <w:rsid w:val="00EA0CFE"/>
    <w:rsid w:val="00EA0E48"/>
    <w:rsid w:val="00EB0F1A"/>
    <w:rsid w:val="00EB369C"/>
    <w:rsid w:val="00EB3BC8"/>
    <w:rsid w:val="00EC0C21"/>
    <w:rsid w:val="00EC5BBC"/>
    <w:rsid w:val="00EC7056"/>
    <w:rsid w:val="00ED08DF"/>
    <w:rsid w:val="00ED1F28"/>
    <w:rsid w:val="00ED34E1"/>
    <w:rsid w:val="00ED3AE2"/>
    <w:rsid w:val="00ED6AC1"/>
    <w:rsid w:val="00EE3356"/>
    <w:rsid w:val="00EE3DCE"/>
    <w:rsid w:val="00EE42E9"/>
    <w:rsid w:val="00EF28EB"/>
    <w:rsid w:val="00EF7F57"/>
    <w:rsid w:val="00F01437"/>
    <w:rsid w:val="00F0255D"/>
    <w:rsid w:val="00F142B6"/>
    <w:rsid w:val="00F17AE0"/>
    <w:rsid w:val="00F24BC4"/>
    <w:rsid w:val="00F2516B"/>
    <w:rsid w:val="00F25504"/>
    <w:rsid w:val="00F26368"/>
    <w:rsid w:val="00F30325"/>
    <w:rsid w:val="00F3262F"/>
    <w:rsid w:val="00F3702E"/>
    <w:rsid w:val="00F42581"/>
    <w:rsid w:val="00F4266B"/>
    <w:rsid w:val="00F457D5"/>
    <w:rsid w:val="00F465C2"/>
    <w:rsid w:val="00F53B1F"/>
    <w:rsid w:val="00F5572A"/>
    <w:rsid w:val="00F61B4A"/>
    <w:rsid w:val="00F61E87"/>
    <w:rsid w:val="00F64691"/>
    <w:rsid w:val="00F65937"/>
    <w:rsid w:val="00F65BED"/>
    <w:rsid w:val="00F67F23"/>
    <w:rsid w:val="00F72626"/>
    <w:rsid w:val="00F72C27"/>
    <w:rsid w:val="00F7428D"/>
    <w:rsid w:val="00F819FF"/>
    <w:rsid w:val="00F82B5C"/>
    <w:rsid w:val="00F86BD6"/>
    <w:rsid w:val="00F92A70"/>
    <w:rsid w:val="00FA3BEE"/>
    <w:rsid w:val="00FB350A"/>
    <w:rsid w:val="00FB6AF9"/>
    <w:rsid w:val="00FC0253"/>
    <w:rsid w:val="00FC0D22"/>
    <w:rsid w:val="00FC4421"/>
    <w:rsid w:val="00FC4426"/>
    <w:rsid w:val="00FD212A"/>
    <w:rsid w:val="00FD5F66"/>
    <w:rsid w:val="00FD613B"/>
    <w:rsid w:val="00FD76A0"/>
    <w:rsid w:val="00FD7DBA"/>
    <w:rsid w:val="00FE0A0C"/>
    <w:rsid w:val="00FE33FC"/>
    <w:rsid w:val="00FE486C"/>
    <w:rsid w:val="00FE59E5"/>
    <w:rsid w:val="00FE5ED1"/>
    <w:rsid w:val="00FF2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endarrow="block"/>
    </o:shapedefaults>
    <o:shapelayout v:ext="edit">
      <o:idmap v:ext="edit" data="1"/>
    </o:shapelayout>
  </w:shapeDefaults>
  <w:decimalSymbol w:val="."/>
  <w:listSeparator w:val=","/>
  <w14:docId w14:val="5B0118F2"/>
  <w15:docId w15:val="{FDD49ABC-ADA6-455B-BD8A-21AE49E3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AFD"/>
    <w:rPr>
      <w:rFonts w:ascii="Arial" w:hAnsi="Arial"/>
      <w:sz w:val="24"/>
      <w:szCs w:val="24"/>
    </w:rPr>
  </w:style>
  <w:style w:type="paragraph" w:styleId="Heading1">
    <w:name w:val="heading 1"/>
    <w:basedOn w:val="Normal"/>
    <w:next w:val="Normal"/>
    <w:qFormat/>
    <w:rsid w:val="008C6165"/>
    <w:pPr>
      <w:keepNext/>
      <w:ind w:left="720" w:hanging="720"/>
      <w:outlineLvl w:val="0"/>
    </w:pPr>
    <w:rPr>
      <w:rFonts w:cs="Arial"/>
      <w:b/>
      <w:bCs/>
      <w:kern w:val="32"/>
      <w:szCs w:val="32"/>
    </w:rPr>
  </w:style>
  <w:style w:type="paragraph" w:styleId="Heading2">
    <w:name w:val="heading 2"/>
    <w:basedOn w:val="Normal"/>
    <w:next w:val="Normal"/>
    <w:qFormat/>
    <w:rsid w:val="009E4F12"/>
    <w:pPr>
      <w:keepNext/>
      <w:autoSpaceDE w:val="0"/>
      <w:autoSpaceDN w:val="0"/>
      <w:adjustRightInd w:val="0"/>
      <w:jc w:val="both"/>
      <w:outlineLvl w:val="1"/>
    </w:pPr>
    <w:rPr>
      <w:rFonts w:cs="Arial"/>
      <w:b/>
      <w:bCs/>
    </w:rPr>
  </w:style>
  <w:style w:type="paragraph" w:styleId="Heading3">
    <w:name w:val="heading 3"/>
    <w:basedOn w:val="Normal"/>
    <w:next w:val="Normal"/>
    <w:qFormat/>
    <w:rsid w:val="00CB2690"/>
    <w:pPr>
      <w:keepNext/>
      <w:autoSpaceDE w:val="0"/>
      <w:autoSpaceDN w:val="0"/>
      <w:adjustRightInd w:val="0"/>
      <w:ind w:left="720"/>
      <w:jc w:val="both"/>
      <w:outlineLvl w:val="2"/>
    </w:pPr>
    <w:rPr>
      <w:rFonts w:cs="Arial"/>
      <w:b/>
      <w:bCs/>
      <w:u w:val="single"/>
    </w:rPr>
  </w:style>
  <w:style w:type="paragraph" w:styleId="Heading4">
    <w:name w:val="heading 4"/>
    <w:basedOn w:val="Normal"/>
    <w:next w:val="Normal"/>
    <w:qFormat/>
    <w:rsid w:val="00CB2690"/>
    <w:pPr>
      <w:keepNext/>
      <w:autoSpaceDE w:val="0"/>
      <w:autoSpaceDN w:val="0"/>
      <w:outlineLvl w:val="3"/>
    </w:pPr>
    <w:rPr>
      <w:rFonts w:ascii="Frutiger" w:hAnsi="Frutiger"/>
      <w:b/>
      <w:bCs/>
      <w:lang w:eastAsia="en-US"/>
    </w:rPr>
  </w:style>
  <w:style w:type="paragraph" w:styleId="Heading5">
    <w:name w:val="heading 5"/>
    <w:basedOn w:val="Normal"/>
    <w:next w:val="Normal"/>
    <w:qFormat/>
    <w:rsid w:val="00CB2690"/>
    <w:pPr>
      <w:keepNext/>
      <w:jc w:val="center"/>
      <w:outlineLvl w:val="4"/>
    </w:pPr>
    <w:rPr>
      <w:rFonts w:cs="Arial"/>
      <w:b/>
      <w:bCs/>
    </w:rPr>
  </w:style>
  <w:style w:type="paragraph" w:styleId="Heading6">
    <w:name w:val="heading 6"/>
    <w:basedOn w:val="Normal"/>
    <w:next w:val="Normal"/>
    <w:qFormat/>
    <w:rsid w:val="00CB2690"/>
    <w:pPr>
      <w:keepNext/>
      <w:outlineLvl w:val="5"/>
    </w:pPr>
    <w:rPr>
      <w:rFonts w:cs="Arial"/>
      <w:b/>
      <w:bCs/>
      <w:sz w:val="20"/>
      <w:u w:val="single"/>
    </w:rPr>
  </w:style>
  <w:style w:type="paragraph" w:styleId="Heading7">
    <w:name w:val="heading 7"/>
    <w:basedOn w:val="Normal"/>
    <w:next w:val="Normal"/>
    <w:qFormat/>
    <w:rsid w:val="00CB2690"/>
    <w:pPr>
      <w:keepNext/>
      <w:spacing w:before="80" w:after="80"/>
      <w:outlineLvl w:val="6"/>
    </w:pPr>
    <w:rPr>
      <w:rFonts w:cs="Arial"/>
      <w:b/>
      <w:sz w:val="20"/>
      <w:szCs w:val="20"/>
    </w:rPr>
  </w:style>
  <w:style w:type="paragraph" w:styleId="Heading8">
    <w:name w:val="heading 8"/>
    <w:basedOn w:val="Normal"/>
    <w:next w:val="Normal"/>
    <w:qFormat/>
    <w:rsid w:val="00CB2690"/>
    <w:pPr>
      <w:keepNext/>
      <w:pBdr>
        <w:top w:val="single" w:sz="4" w:space="1" w:color="auto"/>
        <w:left w:val="single" w:sz="4" w:space="0" w:color="auto"/>
        <w:bottom w:val="single" w:sz="4" w:space="1" w:color="auto"/>
        <w:right w:val="single" w:sz="4" w:space="4" w:color="auto"/>
      </w:pBdr>
      <w:shd w:val="pct25" w:color="auto" w:fill="auto"/>
      <w:tabs>
        <w:tab w:val="left" w:pos="2268"/>
        <w:tab w:val="right" w:pos="6521"/>
        <w:tab w:val="left" w:pos="6804"/>
      </w:tabs>
      <w:jc w:val="center"/>
      <w:outlineLvl w:val="7"/>
    </w:pPr>
    <w:rPr>
      <w:rFonts w:cs="Arial"/>
      <w:b/>
      <w:bCs/>
      <w:sz w:val="32"/>
    </w:rPr>
  </w:style>
  <w:style w:type="paragraph" w:styleId="Heading9">
    <w:name w:val="heading 9"/>
    <w:basedOn w:val="Normal"/>
    <w:next w:val="Normal"/>
    <w:qFormat/>
    <w:rsid w:val="00CB2690"/>
    <w:pPr>
      <w:keepNext/>
      <w:outlineLvl w:val="8"/>
    </w:pPr>
    <w:rPr>
      <w:rFonts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2690"/>
    <w:pPr>
      <w:tabs>
        <w:tab w:val="center" w:pos="4153"/>
        <w:tab w:val="right" w:pos="8306"/>
      </w:tabs>
    </w:pPr>
  </w:style>
  <w:style w:type="paragraph" w:styleId="Footer">
    <w:name w:val="footer"/>
    <w:basedOn w:val="Normal"/>
    <w:rsid w:val="00CB2690"/>
    <w:pPr>
      <w:tabs>
        <w:tab w:val="center" w:pos="4153"/>
        <w:tab w:val="right" w:pos="8306"/>
      </w:tabs>
    </w:pPr>
  </w:style>
  <w:style w:type="paragraph" w:styleId="BodyText2">
    <w:name w:val="Body Text 2"/>
    <w:basedOn w:val="Normal"/>
    <w:rsid w:val="00CB2690"/>
    <w:pPr>
      <w:autoSpaceDE w:val="0"/>
      <w:autoSpaceDN w:val="0"/>
      <w:adjustRightInd w:val="0"/>
      <w:jc w:val="both"/>
    </w:pPr>
    <w:rPr>
      <w:rFonts w:cs="Arial"/>
      <w:b/>
      <w:bCs/>
      <w:i/>
      <w:iCs/>
    </w:rPr>
  </w:style>
  <w:style w:type="paragraph" w:styleId="FootnoteText">
    <w:name w:val="footnote text"/>
    <w:basedOn w:val="Normal"/>
    <w:semiHidden/>
    <w:rsid w:val="00CB2690"/>
    <w:rPr>
      <w:sz w:val="20"/>
      <w:szCs w:val="20"/>
    </w:rPr>
  </w:style>
  <w:style w:type="character" w:styleId="FootnoteReference">
    <w:name w:val="footnote reference"/>
    <w:semiHidden/>
    <w:rsid w:val="00CB2690"/>
    <w:rPr>
      <w:vertAlign w:val="superscript"/>
    </w:rPr>
  </w:style>
  <w:style w:type="character" w:styleId="PageNumber">
    <w:name w:val="page number"/>
    <w:basedOn w:val="DefaultParagraphFont"/>
    <w:rsid w:val="00CB2690"/>
  </w:style>
  <w:style w:type="character" w:styleId="FollowedHyperlink">
    <w:name w:val="FollowedHyperlink"/>
    <w:rsid w:val="00CB2690"/>
    <w:rPr>
      <w:color w:val="800080"/>
      <w:u w:val="single"/>
    </w:rPr>
  </w:style>
  <w:style w:type="character" w:styleId="Hyperlink">
    <w:name w:val="Hyperlink"/>
    <w:uiPriority w:val="99"/>
    <w:rsid w:val="00CB2690"/>
    <w:rPr>
      <w:color w:val="0000FF"/>
      <w:u w:val="single"/>
    </w:rPr>
  </w:style>
  <w:style w:type="paragraph" w:styleId="BodyText">
    <w:name w:val="Body Text"/>
    <w:basedOn w:val="Normal"/>
    <w:rsid w:val="00CB2690"/>
    <w:pPr>
      <w:autoSpaceDE w:val="0"/>
      <w:autoSpaceDN w:val="0"/>
      <w:adjustRightInd w:val="0"/>
      <w:jc w:val="both"/>
    </w:pPr>
    <w:rPr>
      <w:rFonts w:cs="Arial"/>
      <w:szCs w:val="21"/>
      <w:lang w:val="en-US" w:eastAsia="en-US"/>
    </w:rPr>
  </w:style>
  <w:style w:type="paragraph" w:styleId="BodyTextIndent">
    <w:name w:val="Body Text Indent"/>
    <w:basedOn w:val="Normal"/>
    <w:rsid w:val="00CB2690"/>
    <w:pPr>
      <w:spacing w:after="120"/>
      <w:ind w:left="283"/>
    </w:pPr>
  </w:style>
  <w:style w:type="paragraph" w:styleId="BodyTextIndent2">
    <w:name w:val="Body Text Indent 2"/>
    <w:basedOn w:val="Normal"/>
    <w:rsid w:val="00CB2690"/>
    <w:pPr>
      <w:spacing w:after="120" w:line="480" w:lineRule="auto"/>
      <w:ind w:left="283"/>
    </w:pPr>
  </w:style>
  <w:style w:type="paragraph" w:styleId="BodyTextIndent3">
    <w:name w:val="Body Text Indent 3"/>
    <w:basedOn w:val="Normal"/>
    <w:rsid w:val="00CB2690"/>
    <w:pPr>
      <w:spacing w:after="120"/>
      <w:ind w:left="283"/>
    </w:pPr>
    <w:rPr>
      <w:sz w:val="16"/>
      <w:szCs w:val="16"/>
    </w:rPr>
  </w:style>
  <w:style w:type="paragraph" w:styleId="BodyText3">
    <w:name w:val="Body Text 3"/>
    <w:basedOn w:val="Normal"/>
    <w:rsid w:val="00CB2690"/>
    <w:pPr>
      <w:jc w:val="center"/>
    </w:pPr>
    <w:rPr>
      <w:rFonts w:cs="Arial"/>
    </w:rPr>
  </w:style>
  <w:style w:type="paragraph" w:styleId="TOC1">
    <w:name w:val="toc 1"/>
    <w:basedOn w:val="Normal"/>
    <w:next w:val="Normal"/>
    <w:autoRedefine/>
    <w:uiPriority w:val="39"/>
    <w:rsid w:val="009E4F12"/>
    <w:pPr>
      <w:tabs>
        <w:tab w:val="left" w:pos="480"/>
        <w:tab w:val="right" w:leader="dot" w:pos="10260"/>
      </w:tabs>
    </w:pPr>
    <w:rPr>
      <w:rFonts w:cs="Arial"/>
      <w:b/>
      <w:bCs/>
      <w:noProof/>
    </w:rPr>
  </w:style>
  <w:style w:type="paragraph" w:styleId="TOC2">
    <w:name w:val="toc 2"/>
    <w:basedOn w:val="Normal"/>
    <w:next w:val="Normal"/>
    <w:autoRedefine/>
    <w:uiPriority w:val="39"/>
    <w:rsid w:val="00CB2690"/>
    <w:pPr>
      <w:ind w:left="240"/>
    </w:pPr>
  </w:style>
  <w:style w:type="paragraph" w:styleId="TOC3">
    <w:name w:val="toc 3"/>
    <w:basedOn w:val="Normal"/>
    <w:next w:val="Normal"/>
    <w:autoRedefine/>
    <w:uiPriority w:val="39"/>
    <w:rsid w:val="00CB2690"/>
    <w:pPr>
      <w:ind w:left="480"/>
    </w:pPr>
  </w:style>
  <w:style w:type="paragraph" w:styleId="TOC4">
    <w:name w:val="toc 4"/>
    <w:basedOn w:val="Normal"/>
    <w:next w:val="Normal"/>
    <w:autoRedefine/>
    <w:semiHidden/>
    <w:rsid w:val="00CB2690"/>
    <w:pPr>
      <w:ind w:left="720"/>
    </w:pPr>
  </w:style>
  <w:style w:type="paragraph" w:styleId="TOC5">
    <w:name w:val="toc 5"/>
    <w:basedOn w:val="Normal"/>
    <w:next w:val="Normal"/>
    <w:autoRedefine/>
    <w:semiHidden/>
    <w:rsid w:val="00CB2690"/>
    <w:pPr>
      <w:ind w:left="960"/>
    </w:pPr>
  </w:style>
  <w:style w:type="paragraph" w:styleId="TOC6">
    <w:name w:val="toc 6"/>
    <w:basedOn w:val="Normal"/>
    <w:next w:val="Normal"/>
    <w:autoRedefine/>
    <w:semiHidden/>
    <w:rsid w:val="00CB2690"/>
    <w:pPr>
      <w:ind w:left="1200"/>
    </w:pPr>
  </w:style>
  <w:style w:type="paragraph" w:styleId="TOC7">
    <w:name w:val="toc 7"/>
    <w:basedOn w:val="Normal"/>
    <w:next w:val="Normal"/>
    <w:autoRedefine/>
    <w:semiHidden/>
    <w:rsid w:val="00CB2690"/>
    <w:pPr>
      <w:ind w:left="1440"/>
    </w:pPr>
  </w:style>
  <w:style w:type="paragraph" w:styleId="TOC8">
    <w:name w:val="toc 8"/>
    <w:basedOn w:val="Normal"/>
    <w:next w:val="Normal"/>
    <w:autoRedefine/>
    <w:semiHidden/>
    <w:rsid w:val="00CB2690"/>
    <w:pPr>
      <w:ind w:left="1680"/>
    </w:pPr>
  </w:style>
  <w:style w:type="paragraph" w:styleId="TOC9">
    <w:name w:val="toc 9"/>
    <w:basedOn w:val="Normal"/>
    <w:next w:val="Normal"/>
    <w:autoRedefine/>
    <w:semiHidden/>
    <w:rsid w:val="00CB2690"/>
    <w:pPr>
      <w:ind w:left="1920"/>
    </w:pPr>
  </w:style>
  <w:style w:type="paragraph" w:customStyle="1" w:styleId="DefinitionTerm">
    <w:name w:val="Definition Term"/>
    <w:basedOn w:val="Normal"/>
    <w:next w:val="Normal"/>
    <w:rsid w:val="00CB2690"/>
    <w:rPr>
      <w:snapToGrid w:val="0"/>
      <w:szCs w:val="20"/>
      <w:lang w:eastAsia="en-US"/>
    </w:rPr>
  </w:style>
  <w:style w:type="character" w:styleId="CommentReference">
    <w:name w:val="annotation reference"/>
    <w:semiHidden/>
    <w:rsid w:val="00CB2690"/>
    <w:rPr>
      <w:sz w:val="16"/>
      <w:szCs w:val="16"/>
    </w:rPr>
  </w:style>
  <w:style w:type="paragraph" w:styleId="CommentText">
    <w:name w:val="annotation text"/>
    <w:basedOn w:val="Normal"/>
    <w:link w:val="CommentTextChar"/>
    <w:semiHidden/>
    <w:rsid w:val="00CB2690"/>
    <w:rPr>
      <w:sz w:val="20"/>
      <w:szCs w:val="20"/>
      <w:lang w:eastAsia="en-US"/>
    </w:rPr>
  </w:style>
  <w:style w:type="paragraph" w:customStyle="1" w:styleId="CM1">
    <w:name w:val="CM1"/>
    <w:basedOn w:val="Normal"/>
    <w:next w:val="Normal"/>
    <w:rsid w:val="00CB2690"/>
    <w:pPr>
      <w:widowControl w:val="0"/>
      <w:autoSpaceDE w:val="0"/>
      <w:autoSpaceDN w:val="0"/>
      <w:adjustRightInd w:val="0"/>
    </w:pPr>
    <w:rPr>
      <w:rFonts w:ascii="FJMBIA+Arial,Bold" w:hAnsi="FJMBIA+Arial,Bold"/>
    </w:rPr>
  </w:style>
  <w:style w:type="paragraph" w:customStyle="1" w:styleId="Preformatted">
    <w:name w:val="Preformatted"/>
    <w:basedOn w:val="Normal"/>
    <w:rsid w:val="00CB269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BalloonText">
    <w:name w:val="Balloon Text"/>
    <w:basedOn w:val="Normal"/>
    <w:semiHidden/>
    <w:rsid w:val="00CB2690"/>
    <w:rPr>
      <w:rFonts w:ascii="Tahoma" w:hAnsi="Tahoma" w:cs="Tahoma"/>
      <w:sz w:val="16"/>
      <w:szCs w:val="16"/>
    </w:rPr>
  </w:style>
  <w:style w:type="table" w:styleId="TableGrid">
    <w:name w:val="Table Grid"/>
    <w:basedOn w:val="TableNormal"/>
    <w:rsid w:val="00D16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A7AFD"/>
    <w:rPr>
      <w:b/>
      <w:bCs/>
      <w:lang w:eastAsia="en-GB"/>
    </w:rPr>
  </w:style>
  <w:style w:type="character" w:customStyle="1" w:styleId="CommentTextChar">
    <w:name w:val="Comment Text Char"/>
    <w:basedOn w:val="DefaultParagraphFont"/>
    <w:link w:val="CommentText"/>
    <w:semiHidden/>
    <w:rsid w:val="002A7AFD"/>
    <w:rPr>
      <w:rFonts w:ascii="Arial" w:hAnsi="Arial"/>
      <w:lang w:eastAsia="en-US"/>
    </w:rPr>
  </w:style>
  <w:style w:type="character" w:customStyle="1" w:styleId="CommentSubjectChar">
    <w:name w:val="Comment Subject Char"/>
    <w:basedOn w:val="CommentTextChar"/>
    <w:link w:val="CommentSubject"/>
    <w:rsid w:val="002A7AFD"/>
    <w:rPr>
      <w:rFonts w:ascii="Arial" w:hAnsi="Arial"/>
      <w:lang w:eastAsia="en-US"/>
    </w:rPr>
  </w:style>
  <w:style w:type="paragraph" w:styleId="ListParagraph">
    <w:name w:val="List Paragraph"/>
    <w:basedOn w:val="Normal"/>
    <w:uiPriority w:val="34"/>
    <w:qFormat/>
    <w:rsid w:val="007625E2"/>
    <w:pPr>
      <w:ind w:left="720"/>
    </w:pPr>
  </w:style>
  <w:style w:type="paragraph" w:styleId="TOCHeading">
    <w:name w:val="TOC Heading"/>
    <w:basedOn w:val="Heading1"/>
    <w:next w:val="Normal"/>
    <w:uiPriority w:val="39"/>
    <w:semiHidden/>
    <w:unhideWhenUsed/>
    <w:qFormat/>
    <w:rsid w:val="007111B9"/>
    <w:pPr>
      <w:keepLines/>
      <w:spacing w:before="480" w:line="276" w:lineRule="auto"/>
      <w:ind w:left="0" w:firstLine="0"/>
      <w:outlineLvl w:val="9"/>
    </w:pPr>
    <w:rPr>
      <w:rFonts w:ascii="Cambria" w:hAnsi="Cambria" w:cs="Times New Roman"/>
      <w:color w:val="365F91"/>
      <w:kern w:val="0"/>
      <w:sz w:val="28"/>
      <w:szCs w:val="28"/>
      <w:lang w:val="en-US" w:eastAsia="en-US"/>
    </w:rPr>
  </w:style>
  <w:style w:type="paragraph" w:customStyle="1" w:styleId="CM4">
    <w:name w:val="CM4"/>
    <w:basedOn w:val="Normal"/>
    <w:next w:val="Normal"/>
    <w:rsid w:val="005A7C69"/>
    <w:pPr>
      <w:widowControl w:val="0"/>
      <w:autoSpaceDE w:val="0"/>
      <w:autoSpaceDN w:val="0"/>
      <w:adjustRightInd w:val="0"/>
      <w:spacing w:after="535"/>
    </w:pPr>
    <w:rPr>
      <w:rFonts w:ascii="Helvetica" w:hAnsi="Helvetica"/>
      <w:sz w:val="22"/>
    </w:rPr>
  </w:style>
  <w:style w:type="character" w:customStyle="1" w:styleId="HeaderChar">
    <w:name w:val="Header Char"/>
    <w:basedOn w:val="DefaultParagraphFont"/>
    <w:link w:val="Header"/>
    <w:uiPriority w:val="99"/>
    <w:rsid w:val="00963F1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6886">
      <w:bodyDiv w:val="1"/>
      <w:marLeft w:val="0"/>
      <w:marRight w:val="0"/>
      <w:marTop w:val="0"/>
      <w:marBottom w:val="0"/>
      <w:divBdr>
        <w:top w:val="none" w:sz="0" w:space="0" w:color="auto"/>
        <w:left w:val="none" w:sz="0" w:space="0" w:color="auto"/>
        <w:bottom w:val="none" w:sz="0" w:space="0" w:color="auto"/>
        <w:right w:val="none" w:sz="0" w:space="0" w:color="auto"/>
      </w:divBdr>
    </w:div>
    <w:div w:id="584654216">
      <w:bodyDiv w:val="1"/>
      <w:marLeft w:val="0"/>
      <w:marRight w:val="0"/>
      <w:marTop w:val="0"/>
      <w:marBottom w:val="0"/>
      <w:divBdr>
        <w:top w:val="none" w:sz="0" w:space="0" w:color="auto"/>
        <w:left w:val="none" w:sz="0" w:space="0" w:color="auto"/>
        <w:bottom w:val="none" w:sz="0" w:space="0" w:color="auto"/>
        <w:right w:val="none" w:sz="0" w:space="0" w:color="auto"/>
      </w:divBdr>
    </w:div>
    <w:div w:id="951403298">
      <w:bodyDiv w:val="1"/>
      <w:marLeft w:val="0"/>
      <w:marRight w:val="0"/>
      <w:marTop w:val="0"/>
      <w:marBottom w:val="0"/>
      <w:divBdr>
        <w:top w:val="none" w:sz="0" w:space="0" w:color="auto"/>
        <w:left w:val="none" w:sz="0" w:space="0" w:color="auto"/>
        <w:bottom w:val="none" w:sz="0" w:space="0" w:color="auto"/>
        <w:right w:val="none" w:sz="0" w:space="0" w:color="auto"/>
      </w:divBdr>
    </w:div>
    <w:div w:id="1263993613">
      <w:bodyDiv w:val="1"/>
      <w:marLeft w:val="0"/>
      <w:marRight w:val="0"/>
      <w:marTop w:val="0"/>
      <w:marBottom w:val="0"/>
      <w:divBdr>
        <w:top w:val="none" w:sz="0" w:space="0" w:color="auto"/>
        <w:left w:val="none" w:sz="0" w:space="0" w:color="auto"/>
        <w:bottom w:val="none" w:sz="0" w:space="0" w:color="auto"/>
        <w:right w:val="none" w:sz="0" w:space="0" w:color="auto"/>
      </w:divBdr>
    </w:div>
    <w:div w:id="1270509171">
      <w:bodyDiv w:val="1"/>
      <w:marLeft w:val="0"/>
      <w:marRight w:val="0"/>
      <w:marTop w:val="0"/>
      <w:marBottom w:val="0"/>
      <w:divBdr>
        <w:top w:val="none" w:sz="0" w:space="0" w:color="auto"/>
        <w:left w:val="none" w:sz="0" w:space="0" w:color="auto"/>
        <w:bottom w:val="none" w:sz="0" w:space="0" w:color="auto"/>
        <w:right w:val="none" w:sz="0" w:space="0" w:color="auto"/>
      </w:divBdr>
    </w:div>
    <w:div w:id="1460536611">
      <w:bodyDiv w:val="1"/>
      <w:marLeft w:val="0"/>
      <w:marRight w:val="0"/>
      <w:marTop w:val="0"/>
      <w:marBottom w:val="0"/>
      <w:divBdr>
        <w:top w:val="none" w:sz="0" w:space="0" w:color="auto"/>
        <w:left w:val="none" w:sz="0" w:space="0" w:color="auto"/>
        <w:bottom w:val="none" w:sz="0" w:space="0" w:color="auto"/>
        <w:right w:val="none" w:sz="0" w:space="0" w:color="auto"/>
      </w:divBdr>
    </w:div>
    <w:div w:id="206702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saci.org/about/download-paediatric-allergy-action-pla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0FDDC909390D4D950CE406504E5D64" ma:contentTypeVersion="8" ma:contentTypeDescription="Create a new document." ma:contentTypeScope="" ma:versionID="9aea7620f2be1268767918211fcae6ba">
  <xsd:schema xmlns:xsd="http://www.w3.org/2001/XMLSchema" xmlns:xs="http://www.w3.org/2001/XMLSchema" xmlns:p="http://schemas.microsoft.com/office/2006/metadata/properties" xmlns:ns2="9eb2e595-e306-4644-835e-9dc33777cd86" targetNamespace="http://schemas.microsoft.com/office/2006/metadata/properties" ma:root="true" ma:fieldsID="fd52721b47c4a99ba3a53420ec7bd95d" ns2:_="">
    <xsd:import namespace="9eb2e595-e306-4644-835e-9dc33777cd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2e595-e306-4644-835e-9dc33777c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C259C-B6DF-49A6-AD1C-D5009CA6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2e595-e306-4644-835e-9dc33777c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7AA82-DD4D-43D4-ACD3-267472C507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1B3DC7-C4D3-4C85-A98D-C3384088BDEF}">
  <ds:schemaRefs>
    <ds:schemaRef ds:uri="http://schemas.microsoft.com/sharepoint/v3/contenttype/forms"/>
  </ds:schemaRefs>
</ds:datastoreItem>
</file>

<file path=customXml/itemProps4.xml><?xml version="1.0" encoding="utf-8"?>
<ds:datastoreItem xmlns:ds="http://schemas.openxmlformats.org/officeDocument/2006/customXml" ds:itemID="{2E9AA500-EF77-4449-9B23-334FC12D1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Clinical Guidelines template</vt:lpstr>
    </vt:vector>
  </TitlesOfParts>
  <Company>Frimley Park Hospital NHS Foundation Trust</Company>
  <LinksUpToDate>false</LinksUpToDate>
  <CharactersWithSpaces>5279</CharactersWithSpaces>
  <SharedDoc>false</SharedDoc>
  <HLinks>
    <vt:vector size="48" baseType="variant">
      <vt:variant>
        <vt:i4>2490465</vt:i4>
      </vt:variant>
      <vt:variant>
        <vt:i4>21</vt:i4>
      </vt:variant>
      <vt:variant>
        <vt:i4>0</vt:i4>
      </vt:variant>
      <vt:variant>
        <vt:i4>5</vt:i4>
      </vt:variant>
      <vt:variant>
        <vt:lpwstr>http://www.opsi.gov.uk/acts</vt:lpwstr>
      </vt:variant>
      <vt:variant>
        <vt:lpwstr/>
      </vt:variant>
      <vt:variant>
        <vt:i4>2490465</vt:i4>
      </vt:variant>
      <vt:variant>
        <vt:i4>18</vt:i4>
      </vt:variant>
      <vt:variant>
        <vt:i4>0</vt:i4>
      </vt:variant>
      <vt:variant>
        <vt:i4>5</vt:i4>
      </vt:variant>
      <vt:variant>
        <vt:lpwstr>http://www.opsi.gov.uk/acts</vt:lpwstr>
      </vt:variant>
      <vt:variant>
        <vt:lpwstr/>
      </vt:variant>
      <vt:variant>
        <vt:i4>2490465</vt:i4>
      </vt:variant>
      <vt:variant>
        <vt:i4>15</vt:i4>
      </vt:variant>
      <vt:variant>
        <vt:i4>0</vt:i4>
      </vt:variant>
      <vt:variant>
        <vt:i4>5</vt:i4>
      </vt:variant>
      <vt:variant>
        <vt:lpwstr>http://www.opsi.gov.uk/acts</vt:lpwstr>
      </vt:variant>
      <vt:variant>
        <vt:lpwstr/>
      </vt:variant>
      <vt:variant>
        <vt:i4>2490465</vt:i4>
      </vt:variant>
      <vt:variant>
        <vt:i4>12</vt:i4>
      </vt:variant>
      <vt:variant>
        <vt:i4>0</vt:i4>
      </vt:variant>
      <vt:variant>
        <vt:i4>5</vt:i4>
      </vt:variant>
      <vt:variant>
        <vt:lpwstr>http://www.opsi.gov.uk/acts</vt:lpwstr>
      </vt:variant>
      <vt:variant>
        <vt:lpwstr/>
      </vt:variant>
      <vt:variant>
        <vt:i4>2490465</vt:i4>
      </vt:variant>
      <vt:variant>
        <vt:i4>9</vt:i4>
      </vt:variant>
      <vt:variant>
        <vt:i4>0</vt:i4>
      </vt:variant>
      <vt:variant>
        <vt:i4>5</vt:i4>
      </vt:variant>
      <vt:variant>
        <vt:lpwstr>http://www.opsi.gov.uk/acts</vt:lpwstr>
      </vt:variant>
      <vt:variant>
        <vt:lpwstr/>
      </vt:variant>
      <vt:variant>
        <vt:i4>5898328</vt:i4>
      </vt:variant>
      <vt:variant>
        <vt:i4>6</vt:i4>
      </vt:variant>
      <vt:variant>
        <vt:i4>0</vt:i4>
      </vt:variant>
      <vt:variant>
        <vt:i4>5</vt:i4>
      </vt:variant>
      <vt:variant>
        <vt:lpwstr>http://www.opsi.gov.uk/si/si2003/20031660.htm</vt:lpwstr>
      </vt:variant>
      <vt:variant>
        <vt:lpwstr/>
      </vt:variant>
      <vt:variant>
        <vt:i4>2490465</vt:i4>
      </vt:variant>
      <vt:variant>
        <vt:i4>3</vt:i4>
      </vt:variant>
      <vt:variant>
        <vt:i4>0</vt:i4>
      </vt:variant>
      <vt:variant>
        <vt:i4>5</vt:i4>
      </vt:variant>
      <vt:variant>
        <vt:lpwstr>http://www.opsi.gov.uk/acts</vt:lpwstr>
      </vt:variant>
      <vt:variant>
        <vt:lpwstr/>
      </vt:variant>
      <vt:variant>
        <vt:i4>4915292</vt:i4>
      </vt:variant>
      <vt:variant>
        <vt:i4>0</vt:i4>
      </vt:variant>
      <vt:variant>
        <vt:i4>0</vt:i4>
      </vt:variant>
      <vt:variant>
        <vt:i4>5</vt:i4>
      </vt:variant>
      <vt:variant>
        <vt:lpwstr>http://www.dh.gov.uk/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Guidelines template</dc:title>
  <dc:creator>Claire Steel</dc:creator>
  <cp:lastModifiedBy>DEVINE, Zara (NHS EAST BERKSHIRE CCG)</cp:lastModifiedBy>
  <cp:revision>2</cp:revision>
  <cp:lastPrinted>2018-02-28T11:22:00Z</cp:lastPrinted>
  <dcterms:created xsi:type="dcterms:W3CDTF">2021-06-15T13:46:00Z</dcterms:created>
  <dcterms:modified xsi:type="dcterms:W3CDTF">2021-06-15T13:46:00Z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0x0101000F0FDDC909390D4D950CE406504E5D64</vt:lpwstr>
  </property>
</Properties>
</file>